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958F3" w14:textId="77777777" w:rsidR="00221F5B" w:rsidRDefault="00000000">
      <w:pPr>
        <w:spacing w:before="41"/>
        <w:jc w:val="both"/>
        <w:rPr>
          <w:b/>
          <w:sz w:val="24"/>
        </w:rPr>
      </w:pPr>
      <w:r>
        <w:rPr>
          <w:b/>
          <w:sz w:val="24"/>
        </w:rPr>
        <w:t>SIARAN</w:t>
      </w:r>
      <w:r>
        <w:rPr>
          <w:b/>
          <w:spacing w:val="-2"/>
          <w:sz w:val="24"/>
        </w:rPr>
        <w:t xml:space="preserve"> </w:t>
      </w:r>
      <w:r>
        <w:rPr>
          <w:b/>
          <w:spacing w:val="-4"/>
          <w:sz w:val="24"/>
        </w:rPr>
        <w:t>PERS</w:t>
      </w:r>
    </w:p>
    <w:p w14:paraId="0FF62FE8" w14:textId="77777777" w:rsidR="00221F5B" w:rsidRDefault="00000000">
      <w:pPr>
        <w:pStyle w:val="Title"/>
      </w:pPr>
      <w:r>
        <w:t>Perkaya Wawasan Investor Menuju Semester Kedua Tahun 2025, BRI</w:t>
      </w:r>
      <w:r>
        <w:rPr>
          <w:spacing w:val="-1"/>
        </w:rPr>
        <w:t xml:space="preserve"> </w:t>
      </w:r>
      <w:r>
        <w:t>Danareksa Sekuritas Gelar Market Outlook Second Half 2025</w:t>
      </w:r>
    </w:p>
    <w:p w14:paraId="729891A6" w14:textId="6E4CE949" w:rsidR="00221F5B" w:rsidRDefault="00000000">
      <w:pPr>
        <w:pStyle w:val="BodyText"/>
        <w:spacing w:before="340"/>
        <w:ind w:right="358"/>
        <w:jc w:val="both"/>
      </w:pPr>
      <w:r>
        <w:rPr>
          <w:b/>
        </w:rPr>
        <w:t xml:space="preserve">Jakarta, </w:t>
      </w:r>
      <w:r w:rsidR="002832E2">
        <w:rPr>
          <w:b/>
        </w:rPr>
        <w:t xml:space="preserve">15 </w:t>
      </w:r>
      <w:r>
        <w:rPr>
          <w:b/>
        </w:rPr>
        <w:t xml:space="preserve">Juli 2025 </w:t>
      </w:r>
      <w:r>
        <w:t>– Memasuki paruh kedua tahun 2025, dinamika pasar keuangan terus bergerak dipengaruhi oleh ketidakpastian geopolitik yang masih berlanjut, serta perlambatan pertumbuhan ekonomi di berbagai negara utama di dunia. Hal tersebut menuntut para investor untuk lebih cekatan dalam menganalisa dan menangkap peluang yang ada.</w:t>
      </w:r>
    </w:p>
    <w:p w14:paraId="62187A40" w14:textId="77777777" w:rsidR="00221F5B" w:rsidRDefault="00000000">
      <w:pPr>
        <w:pStyle w:val="BodyText"/>
        <w:spacing w:before="268"/>
        <w:ind w:right="350"/>
        <w:jc w:val="both"/>
      </w:pPr>
      <w:r>
        <w:t>Demi</w:t>
      </w:r>
      <w:r>
        <w:rPr>
          <w:spacing w:val="-12"/>
        </w:rPr>
        <w:t xml:space="preserve"> </w:t>
      </w:r>
      <w:r>
        <w:t>menjawab</w:t>
      </w:r>
      <w:r>
        <w:rPr>
          <w:spacing w:val="-12"/>
        </w:rPr>
        <w:t xml:space="preserve"> </w:t>
      </w:r>
      <w:r>
        <w:t>kebutuhan</w:t>
      </w:r>
      <w:r>
        <w:rPr>
          <w:spacing w:val="-10"/>
        </w:rPr>
        <w:t xml:space="preserve"> </w:t>
      </w:r>
      <w:r>
        <w:t>tersebut,</w:t>
      </w:r>
      <w:r>
        <w:rPr>
          <w:spacing w:val="-8"/>
        </w:rPr>
        <w:t xml:space="preserve"> </w:t>
      </w:r>
      <w:r>
        <w:t>BRI</w:t>
      </w:r>
      <w:r>
        <w:rPr>
          <w:spacing w:val="-12"/>
        </w:rPr>
        <w:t xml:space="preserve"> </w:t>
      </w:r>
      <w:r>
        <w:t>Danareksa</w:t>
      </w:r>
      <w:r>
        <w:rPr>
          <w:spacing w:val="-11"/>
        </w:rPr>
        <w:t xml:space="preserve"> </w:t>
      </w:r>
      <w:r>
        <w:t>Sekuritas</w:t>
      </w:r>
      <w:r>
        <w:rPr>
          <w:spacing w:val="-12"/>
        </w:rPr>
        <w:t xml:space="preserve"> </w:t>
      </w:r>
      <w:r>
        <w:t>(“BRIDS”)</w:t>
      </w:r>
      <w:r>
        <w:rPr>
          <w:spacing w:val="-11"/>
        </w:rPr>
        <w:t xml:space="preserve"> </w:t>
      </w:r>
      <w:r>
        <w:t>menggelar</w:t>
      </w:r>
      <w:r>
        <w:rPr>
          <w:spacing w:val="-9"/>
        </w:rPr>
        <w:t xml:space="preserve"> </w:t>
      </w:r>
      <w:r>
        <w:t>acara</w:t>
      </w:r>
      <w:r>
        <w:rPr>
          <w:spacing w:val="-12"/>
        </w:rPr>
        <w:t xml:space="preserve"> </w:t>
      </w:r>
      <w:r>
        <w:t>Market</w:t>
      </w:r>
      <w:r>
        <w:rPr>
          <w:spacing w:val="-11"/>
        </w:rPr>
        <w:t xml:space="preserve"> </w:t>
      </w:r>
      <w:r>
        <w:t xml:space="preserve">Outlook Second Half 2025 bertajuk </w:t>
      </w:r>
      <w:r>
        <w:rPr>
          <w:i/>
        </w:rPr>
        <w:t>“Unlocking Trends, Timing Your Trades”</w:t>
      </w:r>
      <w:r>
        <w:t>, yang menghadirkan pembicara- pembicara</w:t>
      </w:r>
      <w:r>
        <w:rPr>
          <w:spacing w:val="-9"/>
        </w:rPr>
        <w:t xml:space="preserve"> </w:t>
      </w:r>
      <w:r>
        <w:t>ahli</w:t>
      </w:r>
      <w:r>
        <w:rPr>
          <w:spacing w:val="-6"/>
        </w:rPr>
        <w:t xml:space="preserve"> </w:t>
      </w:r>
      <w:r>
        <w:t>dan</w:t>
      </w:r>
      <w:r>
        <w:rPr>
          <w:spacing w:val="-9"/>
        </w:rPr>
        <w:t xml:space="preserve"> </w:t>
      </w:r>
      <w:r>
        <w:t>kompeten</w:t>
      </w:r>
      <w:r>
        <w:rPr>
          <w:spacing w:val="-6"/>
        </w:rPr>
        <w:t xml:space="preserve"> </w:t>
      </w:r>
      <w:r>
        <w:t>di</w:t>
      </w:r>
      <w:r>
        <w:rPr>
          <w:spacing w:val="-6"/>
        </w:rPr>
        <w:t xml:space="preserve"> </w:t>
      </w:r>
      <w:r>
        <w:t>bidangnya,</w:t>
      </w:r>
      <w:r>
        <w:rPr>
          <w:spacing w:val="-10"/>
        </w:rPr>
        <w:t xml:space="preserve"> </w:t>
      </w:r>
      <w:r>
        <w:t>mulai</w:t>
      </w:r>
      <w:r>
        <w:rPr>
          <w:spacing w:val="-6"/>
        </w:rPr>
        <w:t xml:space="preserve"> </w:t>
      </w:r>
      <w:r>
        <w:t>dari</w:t>
      </w:r>
      <w:r>
        <w:rPr>
          <w:spacing w:val="-11"/>
        </w:rPr>
        <w:t xml:space="preserve"> </w:t>
      </w:r>
      <w:r>
        <w:t>ahli</w:t>
      </w:r>
      <w:r>
        <w:rPr>
          <w:spacing w:val="-6"/>
        </w:rPr>
        <w:t xml:space="preserve"> </w:t>
      </w:r>
      <w:r>
        <w:t>ekonomi</w:t>
      </w:r>
      <w:r>
        <w:rPr>
          <w:spacing w:val="-8"/>
        </w:rPr>
        <w:t xml:space="preserve"> </w:t>
      </w:r>
      <w:r>
        <w:t>dan</w:t>
      </w:r>
      <w:r>
        <w:rPr>
          <w:spacing w:val="-6"/>
        </w:rPr>
        <w:t xml:space="preserve"> </w:t>
      </w:r>
      <w:r>
        <w:t>sektoral,</w:t>
      </w:r>
      <w:r>
        <w:rPr>
          <w:spacing w:val="-10"/>
        </w:rPr>
        <w:t xml:space="preserve"> </w:t>
      </w:r>
      <w:r>
        <w:t>emiten</w:t>
      </w:r>
      <w:r>
        <w:rPr>
          <w:spacing w:val="-6"/>
        </w:rPr>
        <w:t xml:space="preserve"> </w:t>
      </w:r>
      <w:r>
        <w:t>dari</w:t>
      </w:r>
      <w:r>
        <w:rPr>
          <w:spacing w:val="-9"/>
        </w:rPr>
        <w:t xml:space="preserve"> </w:t>
      </w:r>
      <w:r>
        <w:t>sektor</w:t>
      </w:r>
      <w:r>
        <w:rPr>
          <w:spacing w:val="-8"/>
        </w:rPr>
        <w:t xml:space="preserve"> </w:t>
      </w:r>
      <w:r>
        <w:t>yang sedang hangat diperbincangkan, hingga profesional trader. Acara ini digelar di Main Hall Bursa Efek Indonesia</w:t>
      </w:r>
      <w:r>
        <w:rPr>
          <w:spacing w:val="-11"/>
        </w:rPr>
        <w:t xml:space="preserve"> </w:t>
      </w:r>
      <w:r>
        <w:t>(BEI),</w:t>
      </w:r>
      <w:r>
        <w:rPr>
          <w:spacing w:val="-11"/>
        </w:rPr>
        <w:t xml:space="preserve"> </w:t>
      </w:r>
      <w:r>
        <w:t>Jakarta,</w:t>
      </w:r>
      <w:r>
        <w:rPr>
          <w:spacing w:val="-11"/>
        </w:rPr>
        <w:t xml:space="preserve"> </w:t>
      </w:r>
      <w:r>
        <w:t>dan</w:t>
      </w:r>
      <w:r>
        <w:rPr>
          <w:spacing w:val="-12"/>
        </w:rPr>
        <w:t xml:space="preserve"> </w:t>
      </w:r>
      <w:r>
        <w:t>dihadiri</w:t>
      </w:r>
      <w:r>
        <w:rPr>
          <w:spacing w:val="-12"/>
        </w:rPr>
        <w:t xml:space="preserve"> </w:t>
      </w:r>
      <w:r>
        <w:t>oleh</w:t>
      </w:r>
      <w:r>
        <w:rPr>
          <w:spacing w:val="-12"/>
        </w:rPr>
        <w:t xml:space="preserve"> </w:t>
      </w:r>
      <w:r>
        <w:t>ratusan</w:t>
      </w:r>
      <w:r>
        <w:rPr>
          <w:spacing w:val="-12"/>
        </w:rPr>
        <w:t xml:space="preserve"> </w:t>
      </w:r>
      <w:r>
        <w:t>peserta</w:t>
      </w:r>
      <w:r>
        <w:rPr>
          <w:spacing w:val="-11"/>
        </w:rPr>
        <w:t xml:space="preserve"> </w:t>
      </w:r>
      <w:r>
        <w:t>yang</w:t>
      </w:r>
      <w:r>
        <w:rPr>
          <w:spacing w:val="-12"/>
        </w:rPr>
        <w:t xml:space="preserve"> </w:t>
      </w:r>
      <w:r>
        <w:t>terdiri</w:t>
      </w:r>
      <w:r>
        <w:rPr>
          <w:spacing w:val="-12"/>
        </w:rPr>
        <w:t xml:space="preserve"> </w:t>
      </w:r>
      <w:r>
        <w:t>dari</w:t>
      </w:r>
      <w:r>
        <w:rPr>
          <w:spacing w:val="-12"/>
        </w:rPr>
        <w:t xml:space="preserve"> </w:t>
      </w:r>
      <w:r>
        <w:t>nasabah</w:t>
      </w:r>
      <w:r>
        <w:rPr>
          <w:spacing w:val="-12"/>
        </w:rPr>
        <w:t xml:space="preserve"> </w:t>
      </w:r>
      <w:r>
        <w:t>BRIDS,</w:t>
      </w:r>
      <w:r>
        <w:rPr>
          <w:spacing w:val="-11"/>
        </w:rPr>
        <w:t xml:space="preserve"> </w:t>
      </w:r>
      <w:r>
        <w:t>komunitas,</w:t>
      </w:r>
      <w:r>
        <w:rPr>
          <w:spacing w:val="-11"/>
        </w:rPr>
        <w:t xml:space="preserve"> </w:t>
      </w:r>
      <w:r>
        <w:t xml:space="preserve">dan </w:t>
      </w:r>
      <w:r>
        <w:rPr>
          <w:spacing w:val="-2"/>
        </w:rPr>
        <w:t>mahasiswa.</w:t>
      </w:r>
    </w:p>
    <w:p w14:paraId="6016C749" w14:textId="77777777" w:rsidR="00221F5B" w:rsidRDefault="00221F5B">
      <w:pPr>
        <w:pStyle w:val="BodyText"/>
      </w:pPr>
    </w:p>
    <w:p w14:paraId="64E813C8" w14:textId="77777777" w:rsidR="00221F5B" w:rsidRDefault="00000000">
      <w:pPr>
        <w:ind w:right="43"/>
      </w:pPr>
      <w:r>
        <w:rPr>
          <w:b/>
        </w:rPr>
        <w:t>Direktur</w:t>
      </w:r>
      <w:r>
        <w:rPr>
          <w:b/>
          <w:spacing w:val="-4"/>
        </w:rPr>
        <w:t xml:space="preserve"> </w:t>
      </w:r>
      <w:r>
        <w:rPr>
          <w:b/>
        </w:rPr>
        <w:t>Treasury</w:t>
      </w:r>
      <w:r>
        <w:rPr>
          <w:b/>
          <w:spacing w:val="-2"/>
        </w:rPr>
        <w:t xml:space="preserve"> </w:t>
      </w:r>
      <w:r>
        <w:rPr>
          <w:b/>
        </w:rPr>
        <w:t>&amp;</w:t>
      </w:r>
      <w:r>
        <w:rPr>
          <w:b/>
          <w:spacing w:val="-4"/>
        </w:rPr>
        <w:t xml:space="preserve"> </w:t>
      </w:r>
      <w:r>
        <w:rPr>
          <w:b/>
        </w:rPr>
        <w:t>International</w:t>
      </w:r>
      <w:r>
        <w:rPr>
          <w:b/>
          <w:spacing w:val="-2"/>
        </w:rPr>
        <w:t xml:space="preserve"> </w:t>
      </w:r>
      <w:r>
        <w:rPr>
          <w:b/>
        </w:rPr>
        <w:t>Banking</w:t>
      </w:r>
      <w:r>
        <w:rPr>
          <w:b/>
          <w:spacing w:val="-4"/>
        </w:rPr>
        <w:t xml:space="preserve"> </w:t>
      </w:r>
      <w:r>
        <w:rPr>
          <w:b/>
        </w:rPr>
        <w:t>BRI,</w:t>
      </w:r>
      <w:r>
        <w:rPr>
          <w:b/>
          <w:spacing w:val="-1"/>
        </w:rPr>
        <w:t xml:space="preserve"> </w:t>
      </w:r>
      <w:r>
        <w:rPr>
          <w:b/>
        </w:rPr>
        <w:t>Farida</w:t>
      </w:r>
      <w:r>
        <w:rPr>
          <w:b/>
          <w:spacing w:val="-3"/>
        </w:rPr>
        <w:t xml:space="preserve"> </w:t>
      </w:r>
      <w:r>
        <w:rPr>
          <w:b/>
        </w:rPr>
        <w:t>Thamrin</w:t>
      </w:r>
      <w:r>
        <w:t>,</w:t>
      </w:r>
      <w:r>
        <w:rPr>
          <w:spacing w:val="-4"/>
        </w:rPr>
        <w:t xml:space="preserve"> </w:t>
      </w:r>
      <w:r>
        <w:t>mengungkapkan</w:t>
      </w:r>
      <w:r>
        <w:rPr>
          <w:spacing w:val="-6"/>
        </w:rPr>
        <w:t xml:space="preserve"> </w:t>
      </w:r>
      <w:r>
        <w:t>bahwa</w:t>
      </w:r>
      <w:r>
        <w:rPr>
          <w:spacing w:val="-2"/>
        </w:rPr>
        <w:t xml:space="preserve"> </w:t>
      </w:r>
      <w:r>
        <w:t>acara</w:t>
      </w:r>
      <w:r>
        <w:rPr>
          <w:spacing w:val="-2"/>
        </w:rPr>
        <w:t xml:space="preserve"> </w:t>
      </w:r>
      <w:r>
        <w:t>ini merupakan bukti nyata komitmen BRIDS dalam memperkuat inklusi keuangan dan mendukung pertumbuhan akses pasar modal di masyarakat.</w:t>
      </w:r>
    </w:p>
    <w:p w14:paraId="364BDECF" w14:textId="77777777" w:rsidR="00221F5B" w:rsidRDefault="00221F5B">
      <w:pPr>
        <w:pStyle w:val="BodyText"/>
        <w:spacing w:before="1"/>
      </w:pPr>
    </w:p>
    <w:p w14:paraId="17AF8E68" w14:textId="77777777" w:rsidR="00221F5B" w:rsidRDefault="00000000">
      <w:pPr>
        <w:pStyle w:val="BodyText"/>
        <w:ind w:right="357"/>
        <w:jc w:val="both"/>
      </w:pPr>
      <w:r>
        <w:t>“Pertumbuhan kinerja bisnis ritel BRIDS tercatat bertumbuh selama 45% selama semester I 2025 meskipun di tengah tantangan geopolitik saat ini. Hal ini juga didukung dengan adanya pengembangan BRIGHTS</w:t>
      </w:r>
      <w:r>
        <w:rPr>
          <w:spacing w:val="-2"/>
        </w:rPr>
        <w:t xml:space="preserve"> </w:t>
      </w:r>
      <w:r>
        <w:t>EASY</w:t>
      </w:r>
      <w:r>
        <w:rPr>
          <w:spacing w:val="-2"/>
        </w:rPr>
        <w:t xml:space="preserve"> </w:t>
      </w:r>
      <w:r>
        <w:t>yang</w:t>
      </w:r>
      <w:r>
        <w:rPr>
          <w:spacing w:val="-5"/>
        </w:rPr>
        <w:t xml:space="preserve"> </w:t>
      </w:r>
      <w:r>
        <w:t>memudahkan</w:t>
      </w:r>
      <w:r>
        <w:rPr>
          <w:spacing w:val="-2"/>
        </w:rPr>
        <w:t xml:space="preserve"> </w:t>
      </w:r>
      <w:r>
        <w:t>nasabah</w:t>
      </w:r>
      <w:r>
        <w:rPr>
          <w:spacing w:val="-3"/>
        </w:rPr>
        <w:t xml:space="preserve"> </w:t>
      </w:r>
      <w:r>
        <w:t>bertansaksi</w:t>
      </w:r>
      <w:r>
        <w:rPr>
          <w:spacing w:val="-2"/>
        </w:rPr>
        <w:t xml:space="preserve"> </w:t>
      </w:r>
      <w:r>
        <w:t>Saham,</w:t>
      </w:r>
      <w:r>
        <w:rPr>
          <w:spacing w:val="-2"/>
        </w:rPr>
        <w:t xml:space="preserve"> </w:t>
      </w:r>
      <w:r>
        <w:t>Obligasi,</w:t>
      </w:r>
      <w:r>
        <w:rPr>
          <w:spacing w:val="-2"/>
        </w:rPr>
        <w:t xml:space="preserve"> </w:t>
      </w:r>
      <w:r>
        <w:t>Reksa</w:t>
      </w:r>
      <w:r>
        <w:rPr>
          <w:spacing w:val="-4"/>
        </w:rPr>
        <w:t xml:space="preserve"> </w:t>
      </w:r>
      <w:r>
        <w:t>Dana</w:t>
      </w:r>
      <w:r>
        <w:rPr>
          <w:spacing w:val="-2"/>
        </w:rPr>
        <w:t xml:space="preserve"> </w:t>
      </w:r>
      <w:r>
        <w:t>dan</w:t>
      </w:r>
      <w:r>
        <w:rPr>
          <w:spacing w:val="-4"/>
        </w:rPr>
        <w:t xml:space="preserve"> </w:t>
      </w:r>
      <w:r>
        <w:t>EBA</w:t>
      </w:r>
      <w:r>
        <w:rPr>
          <w:spacing w:val="-3"/>
        </w:rPr>
        <w:t xml:space="preserve"> </w:t>
      </w:r>
      <w:r>
        <w:t>Ritel</w:t>
      </w:r>
      <w:r>
        <w:rPr>
          <w:spacing w:val="-2"/>
        </w:rPr>
        <w:t xml:space="preserve"> </w:t>
      </w:r>
      <w:r>
        <w:t>dalam satu kemudahan. Kami berharap acara ini dapat memberikan banyak manfaat untuk melangkah lebih yakin di tahun 2025,” ungkap Farida.</w:t>
      </w:r>
    </w:p>
    <w:p w14:paraId="44F6F224" w14:textId="77777777" w:rsidR="00221F5B" w:rsidRDefault="00000000">
      <w:pPr>
        <w:spacing w:before="268"/>
        <w:ind w:right="43"/>
      </w:pPr>
      <w:r>
        <w:t>Senada</w:t>
      </w:r>
      <w:r>
        <w:rPr>
          <w:spacing w:val="-13"/>
        </w:rPr>
        <w:t xml:space="preserve"> </w:t>
      </w:r>
      <w:r>
        <w:t>dengan</w:t>
      </w:r>
      <w:r>
        <w:rPr>
          <w:spacing w:val="-12"/>
        </w:rPr>
        <w:t xml:space="preserve"> </w:t>
      </w:r>
      <w:r>
        <w:t>Farida,</w:t>
      </w:r>
      <w:r>
        <w:rPr>
          <w:spacing w:val="-13"/>
        </w:rPr>
        <w:t xml:space="preserve"> </w:t>
      </w:r>
      <w:r>
        <w:rPr>
          <w:b/>
        </w:rPr>
        <w:t>Direktur</w:t>
      </w:r>
      <w:r>
        <w:rPr>
          <w:b/>
          <w:spacing w:val="-12"/>
        </w:rPr>
        <w:t xml:space="preserve"> </w:t>
      </w:r>
      <w:r>
        <w:rPr>
          <w:b/>
        </w:rPr>
        <w:t>Pengembangan</w:t>
      </w:r>
      <w:r>
        <w:rPr>
          <w:b/>
          <w:spacing w:val="-13"/>
        </w:rPr>
        <w:t xml:space="preserve"> </w:t>
      </w:r>
      <w:r>
        <w:rPr>
          <w:b/>
        </w:rPr>
        <w:t>BEI,</w:t>
      </w:r>
      <w:r>
        <w:rPr>
          <w:b/>
          <w:spacing w:val="-13"/>
        </w:rPr>
        <w:t xml:space="preserve"> </w:t>
      </w:r>
      <w:r>
        <w:rPr>
          <w:b/>
        </w:rPr>
        <w:t>Jeffrey</w:t>
      </w:r>
      <w:r>
        <w:rPr>
          <w:b/>
          <w:spacing w:val="-12"/>
        </w:rPr>
        <w:t xml:space="preserve"> </w:t>
      </w:r>
      <w:r>
        <w:rPr>
          <w:b/>
        </w:rPr>
        <w:t>Hendrik</w:t>
      </w:r>
      <w:r>
        <w:t>,</w:t>
      </w:r>
      <w:r>
        <w:rPr>
          <w:spacing w:val="-14"/>
        </w:rPr>
        <w:t xml:space="preserve"> </w:t>
      </w:r>
      <w:r>
        <w:t>menekankan</w:t>
      </w:r>
      <w:r>
        <w:rPr>
          <w:spacing w:val="-13"/>
        </w:rPr>
        <w:t xml:space="preserve"> </w:t>
      </w:r>
      <w:r>
        <w:t>peran</w:t>
      </w:r>
      <w:r>
        <w:rPr>
          <w:spacing w:val="-13"/>
        </w:rPr>
        <w:t xml:space="preserve"> </w:t>
      </w:r>
      <w:r>
        <w:t>penting</w:t>
      </w:r>
      <w:r>
        <w:rPr>
          <w:spacing w:val="-13"/>
        </w:rPr>
        <w:t xml:space="preserve"> </w:t>
      </w:r>
      <w:r>
        <w:t>investor ritel di tengah ketidakpastian global.</w:t>
      </w:r>
    </w:p>
    <w:p w14:paraId="50B4180F" w14:textId="77777777" w:rsidR="00221F5B" w:rsidRDefault="00221F5B">
      <w:pPr>
        <w:pStyle w:val="BodyText"/>
      </w:pPr>
    </w:p>
    <w:p w14:paraId="280BCE25" w14:textId="77777777" w:rsidR="00221F5B" w:rsidRDefault="00000000">
      <w:pPr>
        <w:pStyle w:val="BodyText"/>
        <w:spacing w:before="1"/>
        <w:ind w:right="354"/>
        <w:jc w:val="both"/>
      </w:pPr>
      <w:r>
        <w:t>“Investor ritel berkontribusi dalam penyerapan 90% saham yang dijual investor asing. Jadi ritel kita yang besar</w:t>
      </w:r>
      <w:r>
        <w:rPr>
          <w:spacing w:val="-9"/>
        </w:rPr>
        <w:t xml:space="preserve"> </w:t>
      </w:r>
      <w:r>
        <w:t>dan</w:t>
      </w:r>
      <w:r>
        <w:rPr>
          <w:spacing w:val="-10"/>
        </w:rPr>
        <w:t xml:space="preserve"> </w:t>
      </w:r>
      <w:r>
        <w:t>kuat</w:t>
      </w:r>
      <w:r>
        <w:rPr>
          <w:spacing w:val="-9"/>
        </w:rPr>
        <w:t xml:space="preserve"> </w:t>
      </w:r>
      <w:r>
        <w:t>akan</w:t>
      </w:r>
      <w:r>
        <w:rPr>
          <w:spacing w:val="-12"/>
        </w:rPr>
        <w:t xml:space="preserve"> </w:t>
      </w:r>
      <w:r>
        <w:t>menjadi</w:t>
      </w:r>
      <w:r>
        <w:rPr>
          <w:spacing w:val="-9"/>
        </w:rPr>
        <w:t xml:space="preserve"> </w:t>
      </w:r>
      <w:r>
        <w:t>fondasi</w:t>
      </w:r>
      <w:r>
        <w:rPr>
          <w:spacing w:val="-9"/>
        </w:rPr>
        <w:t xml:space="preserve"> </w:t>
      </w:r>
      <w:r>
        <w:t>yang</w:t>
      </w:r>
      <w:r>
        <w:rPr>
          <w:spacing w:val="-10"/>
        </w:rPr>
        <w:t xml:space="preserve"> </w:t>
      </w:r>
      <w:r>
        <w:t>sangat</w:t>
      </w:r>
      <w:r>
        <w:rPr>
          <w:spacing w:val="-11"/>
        </w:rPr>
        <w:t xml:space="preserve"> </w:t>
      </w:r>
      <w:r>
        <w:t>baik</w:t>
      </w:r>
      <w:r>
        <w:rPr>
          <w:spacing w:val="-12"/>
        </w:rPr>
        <w:t xml:space="preserve"> </w:t>
      </w:r>
      <w:r>
        <w:t>bagi</w:t>
      </w:r>
      <w:r>
        <w:rPr>
          <w:spacing w:val="-9"/>
        </w:rPr>
        <w:t xml:space="preserve"> </w:t>
      </w:r>
      <w:r>
        <w:t>pertumbuhan</w:t>
      </w:r>
      <w:r>
        <w:rPr>
          <w:spacing w:val="-10"/>
        </w:rPr>
        <w:t xml:space="preserve"> </w:t>
      </w:r>
      <w:r>
        <w:t>pasar</w:t>
      </w:r>
      <w:r>
        <w:rPr>
          <w:spacing w:val="-12"/>
        </w:rPr>
        <w:t xml:space="preserve"> </w:t>
      </w:r>
      <w:r>
        <w:t>modal</w:t>
      </w:r>
      <w:r>
        <w:rPr>
          <w:spacing w:val="-9"/>
        </w:rPr>
        <w:t xml:space="preserve"> </w:t>
      </w:r>
      <w:r>
        <w:t>kita</w:t>
      </w:r>
      <w:r>
        <w:rPr>
          <w:spacing w:val="-11"/>
        </w:rPr>
        <w:t xml:space="preserve"> </w:t>
      </w:r>
      <w:r>
        <w:t>ke</w:t>
      </w:r>
      <w:r>
        <w:rPr>
          <w:spacing w:val="-8"/>
        </w:rPr>
        <w:t xml:space="preserve"> </w:t>
      </w:r>
      <w:r>
        <w:t>depan”</w:t>
      </w:r>
      <w:r>
        <w:rPr>
          <w:spacing w:val="-8"/>
        </w:rPr>
        <w:t xml:space="preserve"> </w:t>
      </w:r>
      <w:r>
        <w:t xml:space="preserve">jelas </w:t>
      </w:r>
      <w:r>
        <w:rPr>
          <w:spacing w:val="-2"/>
        </w:rPr>
        <w:t>Jeffrey.</w:t>
      </w:r>
    </w:p>
    <w:p w14:paraId="67F01AFC" w14:textId="77777777" w:rsidR="00221F5B" w:rsidRDefault="00221F5B">
      <w:pPr>
        <w:pStyle w:val="BodyText"/>
      </w:pPr>
    </w:p>
    <w:p w14:paraId="01482292" w14:textId="77777777" w:rsidR="00221F5B" w:rsidRDefault="00000000">
      <w:pPr>
        <w:pStyle w:val="BodyText"/>
        <w:ind w:right="357"/>
        <w:jc w:val="both"/>
      </w:pPr>
      <w:r>
        <w:t>Setelah</w:t>
      </w:r>
      <w:r>
        <w:rPr>
          <w:spacing w:val="-9"/>
        </w:rPr>
        <w:t xml:space="preserve"> </w:t>
      </w:r>
      <w:r>
        <w:t>sesi</w:t>
      </w:r>
      <w:r>
        <w:rPr>
          <w:spacing w:val="-7"/>
        </w:rPr>
        <w:t xml:space="preserve"> </w:t>
      </w:r>
      <w:r>
        <w:t>pembukaan,</w:t>
      </w:r>
      <w:r>
        <w:rPr>
          <w:spacing w:val="-7"/>
        </w:rPr>
        <w:t xml:space="preserve"> </w:t>
      </w:r>
      <w:r>
        <w:t>acara</w:t>
      </w:r>
      <w:r>
        <w:rPr>
          <w:spacing w:val="-7"/>
        </w:rPr>
        <w:t xml:space="preserve"> </w:t>
      </w:r>
      <w:r>
        <w:t>dilanjutkan</w:t>
      </w:r>
      <w:r>
        <w:rPr>
          <w:spacing w:val="-8"/>
        </w:rPr>
        <w:t xml:space="preserve"> </w:t>
      </w:r>
      <w:r>
        <w:t>dengan</w:t>
      </w:r>
      <w:r>
        <w:rPr>
          <w:spacing w:val="-8"/>
        </w:rPr>
        <w:t xml:space="preserve"> </w:t>
      </w:r>
      <w:r>
        <w:t>paparan</w:t>
      </w:r>
      <w:r>
        <w:rPr>
          <w:spacing w:val="-9"/>
        </w:rPr>
        <w:t xml:space="preserve"> </w:t>
      </w:r>
      <w:r>
        <w:t>market</w:t>
      </w:r>
      <w:r>
        <w:rPr>
          <w:spacing w:val="-9"/>
        </w:rPr>
        <w:t xml:space="preserve"> </w:t>
      </w:r>
      <w:r>
        <w:t>outlook</w:t>
      </w:r>
      <w:r>
        <w:rPr>
          <w:spacing w:val="-7"/>
        </w:rPr>
        <w:t xml:space="preserve"> </w:t>
      </w:r>
      <w:r>
        <w:t>dari</w:t>
      </w:r>
      <w:r>
        <w:rPr>
          <w:spacing w:val="-8"/>
        </w:rPr>
        <w:t xml:space="preserve"> </w:t>
      </w:r>
      <w:r>
        <w:t>para</w:t>
      </w:r>
      <w:r>
        <w:rPr>
          <w:spacing w:val="-8"/>
        </w:rPr>
        <w:t xml:space="preserve"> </w:t>
      </w:r>
      <w:r>
        <w:t>pembicara</w:t>
      </w:r>
      <w:r>
        <w:rPr>
          <w:spacing w:val="-8"/>
        </w:rPr>
        <w:t xml:space="preserve"> </w:t>
      </w:r>
      <w:r>
        <w:t>ahli</w:t>
      </w:r>
      <w:r>
        <w:rPr>
          <w:spacing w:val="-10"/>
        </w:rPr>
        <w:t xml:space="preserve"> </w:t>
      </w:r>
      <w:r>
        <w:t>yang membahas kondisi makroekonomi, potensi sektoral, hingga strategi teknikal yang relevan untuk menghadapi pasar di semester dua 2025.</w:t>
      </w:r>
    </w:p>
    <w:p w14:paraId="4762F987" w14:textId="77777777" w:rsidR="00221F5B" w:rsidRDefault="00000000">
      <w:pPr>
        <w:spacing w:before="268"/>
        <w:ind w:right="354"/>
        <w:jc w:val="both"/>
      </w:pPr>
      <w:r>
        <w:rPr>
          <w:b/>
        </w:rPr>
        <w:t xml:space="preserve">Head of Equity Research BRIDS Erindra Krisnawan </w:t>
      </w:r>
      <w:r>
        <w:t>menyampaikan bahwa meskipun ekonomi global masih menunjukkan perlambatan, kondisi domestik Indonesia memberi harapan akan pemulihan pasar yang sehat.</w:t>
      </w:r>
    </w:p>
    <w:p w14:paraId="3B0B9C9E" w14:textId="77777777" w:rsidR="00221F5B" w:rsidRDefault="00221F5B">
      <w:pPr>
        <w:pStyle w:val="BodyText"/>
        <w:spacing w:before="1"/>
      </w:pPr>
    </w:p>
    <w:p w14:paraId="47841FE8" w14:textId="77777777" w:rsidR="00221F5B" w:rsidRDefault="00000000">
      <w:pPr>
        <w:pStyle w:val="BodyText"/>
        <w:ind w:right="356"/>
        <w:jc w:val="both"/>
      </w:pPr>
      <w:r>
        <w:t>“Meski ekonomi global masih melambat. Namun, hal itu diikuti dengan stabilitas ekonomi dalam negeri yang masih baik. Selain itu, valuasi pasar saham Indonesia masih tergolong rendah ini menjadi peluang menarik</w:t>
      </w:r>
      <w:r>
        <w:rPr>
          <w:spacing w:val="-8"/>
        </w:rPr>
        <w:t xml:space="preserve"> </w:t>
      </w:r>
      <w:r>
        <w:t>bagi</w:t>
      </w:r>
      <w:r>
        <w:rPr>
          <w:spacing w:val="-5"/>
        </w:rPr>
        <w:t xml:space="preserve"> </w:t>
      </w:r>
      <w:r>
        <w:t>investor</w:t>
      </w:r>
      <w:r>
        <w:rPr>
          <w:spacing w:val="-8"/>
        </w:rPr>
        <w:t xml:space="preserve"> </w:t>
      </w:r>
      <w:r>
        <w:t>jangka</w:t>
      </w:r>
      <w:r>
        <w:rPr>
          <w:spacing w:val="-5"/>
        </w:rPr>
        <w:t xml:space="preserve"> </w:t>
      </w:r>
      <w:r>
        <w:t>menengah.</w:t>
      </w:r>
      <w:r>
        <w:rPr>
          <w:spacing w:val="-8"/>
        </w:rPr>
        <w:t xml:space="preserve"> </w:t>
      </w:r>
      <w:r>
        <w:t>Prospek</w:t>
      </w:r>
      <w:r>
        <w:rPr>
          <w:spacing w:val="-7"/>
        </w:rPr>
        <w:t xml:space="preserve"> </w:t>
      </w:r>
      <w:r>
        <w:t>pemulihan</w:t>
      </w:r>
      <w:r>
        <w:rPr>
          <w:spacing w:val="-6"/>
        </w:rPr>
        <w:t xml:space="preserve"> </w:t>
      </w:r>
      <w:r>
        <w:t>ditopang</w:t>
      </w:r>
      <w:r>
        <w:rPr>
          <w:spacing w:val="-8"/>
        </w:rPr>
        <w:t xml:space="preserve"> </w:t>
      </w:r>
      <w:r>
        <w:t>oleh</w:t>
      </w:r>
      <w:r>
        <w:rPr>
          <w:spacing w:val="-6"/>
        </w:rPr>
        <w:t xml:space="preserve"> </w:t>
      </w:r>
      <w:r>
        <w:t>BI</w:t>
      </w:r>
      <w:r>
        <w:rPr>
          <w:spacing w:val="-8"/>
        </w:rPr>
        <w:t xml:space="preserve"> </w:t>
      </w:r>
      <w:r>
        <w:t>rate</w:t>
      </w:r>
      <w:r>
        <w:rPr>
          <w:spacing w:val="-5"/>
        </w:rPr>
        <w:t xml:space="preserve"> </w:t>
      </w:r>
      <w:r>
        <w:t>yang</w:t>
      </w:r>
      <w:r>
        <w:rPr>
          <w:spacing w:val="-6"/>
        </w:rPr>
        <w:t xml:space="preserve"> </w:t>
      </w:r>
      <w:r>
        <w:t>lebih</w:t>
      </w:r>
      <w:r>
        <w:rPr>
          <w:spacing w:val="-7"/>
        </w:rPr>
        <w:t xml:space="preserve"> </w:t>
      </w:r>
      <w:r>
        <w:t>bersahabat, serta</w:t>
      </w:r>
      <w:r>
        <w:rPr>
          <w:spacing w:val="80"/>
        </w:rPr>
        <w:t xml:space="preserve"> </w:t>
      </w:r>
      <w:r>
        <w:t>akselerasi</w:t>
      </w:r>
      <w:r>
        <w:rPr>
          <w:spacing w:val="80"/>
        </w:rPr>
        <w:t xml:space="preserve"> </w:t>
      </w:r>
      <w:r>
        <w:t>belanja</w:t>
      </w:r>
      <w:r>
        <w:rPr>
          <w:spacing w:val="80"/>
        </w:rPr>
        <w:t xml:space="preserve"> </w:t>
      </w:r>
      <w:r>
        <w:t>negara.</w:t>
      </w:r>
      <w:r>
        <w:rPr>
          <w:spacing w:val="80"/>
        </w:rPr>
        <w:t xml:space="preserve"> </w:t>
      </w:r>
      <w:r>
        <w:t>Sektor</w:t>
      </w:r>
      <w:r>
        <w:rPr>
          <w:spacing w:val="80"/>
        </w:rPr>
        <w:t xml:space="preserve"> </w:t>
      </w:r>
      <w:r>
        <w:t>yang</w:t>
      </w:r>
      <w:r>
        <w:rPr>
          <w:spacing w:val="80"/>
        </w:rPr>
        <w:t xml:space="preserve"> </w:t>
      </w:r>
      <w:r>
        <w:t>kami</w:t>
      </w:r>
      <w:r>
        <w:rPr>
          <w:spacing w:val="80"/>
        </w:rPr>
        <w:t xml:space="preserve"> </w:t>
      </w:r>
      <w:r>
        <w:t>soroti</w:t>
      </w:r>
      <w:r>
        <w:rPr>
          <w:spacing w:val="80"/>
        </w:rPr>
        <w:t xml:space="preserve"> </w:t>
      </w:r>
      <w:r>
        <w:t>antara</w:t>
      </w:r>
      <w:r>
        <w:rPr>
          <w:spacing w:val="80"/>
        </w:rPr>
        <w:t xml:space="preserve"> </w:t>
      </w:r>
      <w:r>
        <w:t>lain</w:t>
      </w:r>
      <w:r>
        <w:rPr>
          <w:spacing w:val="80"/>
        </w:rPr>
        <w:t xml:space="preserve"> </w:t>
      </w:r>
      <w:r>
        <w:t>konsumer</w:t>
      </w:r>
      <w:r>
        <w:rPr>
          <w:spacing w:val="80"/>
        </w:rPr>
        <w:t xml:space="preserve"> </w:t>
      </w:r>
      <w:r>
        <w:t>dan telekomunikasi,” papar Erindra.</w:t>
      </w:r>
    </w:p>
    <w:p w14:paraId="32C8DE33" w14:textId="77777777" w:rsidR="00221F5B" w:rsidRDefault="00221F5B">
      <w:pPr>
        <w:pStyle w:val="BodyText"/>
        <w:jc w:val="both"/>
        <w:sectPr w:rsidR="00221F5B">
          <w:headerReference w:type="default" r:id="rId6"/>
          <w:footerReference w:type="default" r:id="rId7"/>
          <w:type w:val="continuous"/>
          <w:pgSz w:w="12240" w:h="15840"/>
          <w:pgMar w:top="1700" w:right="1080" w:bottom="1040" w:left="1440" w:header="720" w:footer="849" w:gutter="0"/>
          <w:pgNumType w:start="1"/>
          <w:cols w:space="720"/>
        </w:sectPr>
      </w:pPr>
    </w:p>
    <w:p w14:paraId="5F0118FA" w14:textId="77777777" w:rsidR="00221F5B" w:rsidRDefault="00221F5B">
      <w:pPr>
        <w:pStyle w:val="BodyText"/>
        <w:spacing w:before="41"/>
      </w:pPr>
    </w:p>
    <w:p w14:paraId="48280F7A" w14:textId="77777777" w:rsidR="00221F5B" w:rsidRDefault="00000000">
      <w:pPr>
        <w:ind w:right="356"/>
        <w:jc w:val="both"/>
      </w:pPr>
      <w:r>
        <w:t xml:space="preserve">Melengkapi pandangan makro tersebut, </w:t>
      </w:r>
      <w:r>
        <w:rPr>
          <w:b/>
        </w:rPr>
        <w:t>Ronald A. Hutagalung, Manager Investor Relations dari Pertamina Geothermal Energy (PGEO)</w:t>
      </w:r>
      <w:r>
        <w:t>, memberikan perspektif dari sektor strategis, khususnya energi terbarukan,</w:t>
      </w:r>
      <w:r>
        <w:rPr>
          <w:spacing w:val="-6"/>
        </w:rPr>
        <w:t xml:space="preserve"> </w:t>
      </w:r>
      <w:r>
        <w:t>yang</w:t>
      </w:r>
      <w:r>
        <w:rPr>
          <w:spacing w:val="-6"/>
        </w:rPr>
        <w:t xml:space="preserve"> </w:t>
      </w:r>
      <w:r>
        <w:t>kini</w:t>
      </w:r>
      <w:r>
        <w:rPr>
          <w:spacing w:val="-5"/>
        </w:rPr>
        <w:t xml:space="preserve"> </w:t>
      </w:r>
      <w:r>
        <w:t>menjadi</w:t>
      </w:r>
      <w:r>
        <w:rPr>
          <w:spacing w:val="-5"/>
        </w:rPr>
        <w:t xml:space="preserve"> </w:t>
      </w:r>
      <w:r>
        <w:t>fokus</w:t>
      </w:r>
      <w:r>
        <w:rPr>
          <w:spacing w:val="-6"/>
        </w:rPr>
        <w:t xml:space="preserve"> </w:t>
      </w:r>
      <w:r>
        <w:t>transisi</w:t>
      </w:r>
      <w:r>
        <w:rPr>
          <w:spacing w:val="-5"/>
        </w:rPr>
        <w:t xml:space="preserve"> </w:t>
      </w:r>
      <w:r>
        <w:t>nasional</w:t>
      </w:r>
      <w:r>
        <w:rPr>
          <w:spacing w:val="-7"/>
        </w:rPr>
        <w:t xml:space="preserve"> </w:t>
      </w:r>
      <w:r>
        <w:t>yang</w:t>
      </w:r>
      <w:r>
        <w:rPr>
          <w:spacing w:val="-6"/>
        </w:rPr>
        <w:t xml:space="preserve"> </w:t>
      </w:r>
      <w:r>
        <w:t>menyoroti</w:t>
      </w:r>
      <w:r>
        <w:rPr>
          <w:spacing w:val="-5"/>
        </w:rPr>
        <w:t xml:space="preserve"> </w:t>
      </w:r>
      <w:r>
        <w:t>besarnya</w:t>
      </w:r>
      <w:r>
        <w:rPr>
          <w:spacing w:val="-5"/>
        </w:rPr>
        <w:t xml:space="preserve"> </w:t>
      </w:r>
      <w:r>
        <w:t>potensi</w:t>
      </w:r>
      <w:r>
        <w:rPr>
          <w:spacing w:val="-5"/>
        </w:rPr>
        <w:t xml:space="preserve"> </w:t>
      </w:r>
      <w:r>
        <w:t>energi</w:t>
      </w:r>
      <w:r>
        <w:rPr>
          <w:spacing w:val="-7"/>
        </w:rPr>
        <w:t xml:space="preserve"> </w:t>
      </w:r>
      <w:r>
        <w:t>terbarukan di Indonesia, khususnya panas bumi, sebagai penggerak transisi energi nasional.</w:t>
      </w:r>
    </w:p>
    <w:p w14:paraId="43E6A14C" w14:textId="77777777" w:rsidR="00221F5B" w:rsidRDefault="00221F5B">
      <w:pPr>
        <w:pStyle w:val="BodyText"/>
        <w:spacing w:before="1"/>
      </w:pPr>
    </w:p>
    <w:p w14:paraId="01C6C29F" w14:textId="77777777" w:rsidR="00221F5B" w:rsidRDefault="00000000">
      <w:pPr>
        <w:pStyle w:val="BodyText"/>
        <w:ind w:right="358"/>
        <w:jc w:val="both"/>
      </w:pPr>
      <w:r>
        <w:t>“Dengan dukungan kebijakan nasional dan pembangunan infrastruktur seperti Supergrid, kami di PGE berkomitmen menjadi penggerak utama transisi energi bersih. Kami menargetkan kapasitas terpasang hingga 1,7 GW pada 2033 serta mendorong investasi pada pengembangan produk turunan panas bumi dan industrialisasi komponen pendukung pembangkit. Kinerja kami pun solid, dengan EBITDA margin berkisar 80% dan availability faktor mendekati 100%” jelas Ronald.</w:t>
      </w:r>
    </w:p>
    <w:p w14:paraId="4124F15A" w14:textId="77777777" w:rsidR="00221F5B" w:rsidRDefault="00221F5B">
      <w:pPr>
        <w:pStyle w:val="BodyText"/>
      </w:pPr>
    </w:p>
    <w:p w14:paraId="414BEE40" w14:textId="77777777" w:rsidR="00221F5B" w:rsidRDefault="00000000">
      <w:pPr>
        <w:ind w:right="355"/>
        <w:jc w:val="both"/>
      </w:pPr>
      <w:r>
        <w:t xml:space="preserve">Kemudian, Dari sisi teknikal, </w:t>
      </w:r>
      <w:r>
        <w:rPr>
          <w:b/>
        </w:rPr>
        <w:t>Om Ben, Professional Trader &amp; Stock Enthusiast</w:t>
      </w:r>
      <w:r>
        <w:t>, menutup sesi outlook dengan membagikan strategi praktis yang dapat diterapkan investor ritel untuk menghadapi dinamika pasar yang penuh tantangan.</w:t>
      </w:r>
    </w:p>
    <w:p w14:paraId="18FFF4F4" w14:textId="77777777" w:rsidR="00221F5B" w:rsidRDefault="00221F5B">
      <w:pPr>
        <w:pStyle w:val="BodyText"/>
        <w:spacing w:before="1"/>
      </w:pPr>
    </w:p>
    <w:p w14:paraId="2E64F71A" w14:textId="77777777" w:rsidR="00221F5B" w:rsidRDefault="00000000">
      <w:pPr>
        <w:pStyle w:val="BodyText"/>
        <w:ind w:right="354"/>
        <w:jc w:val="both"/>
      </w:pPr>
      <w:r>
        <w:t>“Trading bukan soal cuan besar sesaat, tapi soal konsistensi dan disiplin. Di semester dua ini, siapkan strategi yang jelas, risk management yang ketat, dan mental yang sabar. Fokus pada saham-saham IPO dan strategi swing trading berbasis support resistance. Jangan FOMO, evaluasi rutin, dan hindari overtrade. Momentum tetap ada, apalagi dengan banyaknya saham big cap yang sedang terdiskon dan aksi korporasi menarik” papar Om Ben.</w:t>
      </w:r>
    </w:p>
    <w:p w14:paraId="72687EB4" w14:textId="77777777" w:rsidR="00221F5B" w:rsidRDefault="00221F5B">
      <w:pPr>
        <w:pStyle w:val="BodyText"/>
        <w:spacing w:before="23"/>
      </w:pPr>
    </w:p>
    <w:p w14:paraId="2DD1AC90" w14:textId="77777777" w:rsidR="00221F5B" w:rsidRDefault="00000000">
      <w:pPr>
        <w:ind w:right="357"/>
        <w:jc w:val="center"/>
        <w:rPr>
          <w:sz w:val="24"/>
        </w:rPr>
      </w:pPr>
      <w:r>
        <w:rPr>
          <w:spacing w:val="-5"/>
          <w:sz w:val="24"/>
        </w:rPr>
        <w:t>***</w:t>
      </w:r>
    </w:p>
    <w:p w14:paraId="5FD5DCD0" w14:textId="77777777" w:rsidR="00221F5B" w:rsidRDefault="00221F5B">
      <w:pPr>
        <w:pStyle w:val="BodyText"/>
        <w:rPr>
          <w:sz w:val="24"/>
        </w:rPr>
      </w:pPr>
    </w:p>
    <w:p w14:paraId="2A8502DD" w14:textId="77777777" w:rsidR="00221F5B" w:rsidRDefault="00000000">
      <w:pPr>
        <w:pStyle w:val="Heading1"/>
        <w:jc w:val="both"/>
        <w:rPr>
          <w:u w:val="none"/>
        </w:rPr>
      </w:pPr>
      <w:r>
        <w:t>Tentang</w:t>
      </w:r>
      <w:r>
        <w:rPr>
          <w:spacing w:val="-6"/>
        </w:rPr>
        <w:t xml:space="preserve"> </w:t>
      </w:r>
      <w:r>
        <w:t>PT</w:t>
      </w:r>
      <w:r>
        <w:rPr>
          <w:spacing w:val="-5"/>
        </w:rPr>
        <w:t xml:space="preserve"> </w:t>
      </w:r>
      <w:r>
        <w:t>BRI</w:t>
      </w:r>
      <w:r>
        <w:rPr>
          <w:spacing w:val="-3"/>
        </w:rPr>
        <w:t xml:space="preserve"> </w:t>
      </w:r>
      <w:r>
        <w:t>Danareksa</w:t>
      </w:r>
      <w:r>
        <w:rPr>
          <w:spacing w:val="-7"/>
        </w:rPr>
        <w:t xml:space="preserve"> </w:t>
      </w:r>
      <w:r>
        <w:t>Sekuritas</w:t>
      </w:r>
      <w:r>
        <w:rPr>
          <w:spacing w:val="-1"/>
          <w:u w:val="none"/>
        </w:rPr>
        <w:t xml:space="preserve"> </w:t>
      </w:r>
      <w:r>
        <w:rPr>
          <w:spacing w:val="-2"/>
          <w:u w:val="none"/>
        </w:rPr>
        <w:t>(</w:t>
      </w:r>
      <w:hyperlink r:id="rId8">
        <w:r>
          <w:rPr>
            <w:color w:val="0000FF"/>
            <w:spacing w:val="-2"/>
            <w:u w:color="0000FF"/>
          </w:rPr>
          <w:t>www.bridanareksasekuritas.co.id</w:t>
        </w:r>
      </w:hyperlink>
      <w:r>
        <w:rPr>
          <w:spacing w:val="-2"/>
          <w:u w:val="none"/>
        </w:rPr>
        <w:t>)</w:t>
      </w:r>
    </w:p>
    <w:p w14:paraId="4BCB8FF5" w14:textId="77777777" w:rsidR="00221F5B" w:rsidRDefault="00221F5B">
      <w:pPr>
        <w:pStyle w:val="BodyText"/>
        <w:spacing w:before="1"/>
        <w:rPr>
          <w:b/>
        </w:rPr>
      </w:pPr>
    </w:p>
    <w:p w14:paraId="5B5E8245" w14:textId="77777777" w:rsidR="00221F5B" w:rsidRDefault="00000000">
      <w:pPr>
        <w:pStyle w:val="BodyText"/>
        <w:ind w:right="355"/>
        <w:jc w:val="both"/>
      </w:pPr>
      <w:r>
        <w:t>PT BRI Danareksa Sekuritas didirikan pada tahun 1992, bergerak sebagai perantara perdagangan efek, penjamin</w:t>
      </w:r>
      <w:r>
        <w:rPr>
          <w:spacing w:val="-13"/>
        </w:rPr>
        <w:t xml:space="preserve"> </w:t>
      </w:r>
      <w:r>
        <w:t>emisi</w:t>
      </w:r>
      <w:r>
        <w:rPr>
          <w:spacing w:val="-12"/>
        </w:rPr>
        <w:t xml:space="preserve"> </w:t>
      </w:r>
      <w:r>
        <w:t>efek</w:t>
      </w:r>
      <w:r>
        <w:rPr>
          <w:spacing w:val="-13"/>
        </w:rPr>
        <w:t xml:space="preserve"> </w:t>
      </w:r>
      <w:r>
        <w:t>dan</w:t>
      </w:r>
      <w:r>
        <w:rPr>
          <w:spacing w:val="-12"/>
        </w:rPr>
        <w:t xml:space="preserve"> </w:t>
      </w:r>
      <w:r>
        <w:t>penasihat</w:t>
      </w:r>
      <w:r>
        <w:rPr>
          <w:spacing w:val="-13"/>
        </w:rPr>
        <w:t xml:space="preserve"> </w:t>
      </w:r>
      <w:r>
        <w:t>keuangan,</w:t>
      </w:r>
      <w:r>
        <w:rPr>
          <w:spacing w:val="-12"/>
        </w:rPr>
        <w:t xml:space="preserve"> </w:t>
      </w:r>
      <w:r>
        <w:t>yang</w:t>
      </w:r>
      <w:r>
        <w:rPr>
          <w:spacing w:val="-13"/>
        </w:rPr>
        <w:t xml:space="preserve"> </w:t>
      </w:r>
      <w:r>
        <w:t>merupakan</w:t>
      </w:r>
      <w:r>
        <w:rPr>
          <w:spacing w:val="-12"/>
        </w:rPr>
        <w:t xml:space="preserve"> </w:t>
      </w:r>
      <w:r>
        <w:t>entitas</w:t>
      </w:r>
      <w:r>
        <w:rPr>
          <w:spacing w:val="-12"/>
        </w:rPr>
        <w:t xml:space="preserve"> </w:t>
      </w:r>
      <w:r>
        <w:t>anak</w:t>
      </w:r>
      <w:r>
        <w:rPr>
          <w:spacing w:val="-13"/>
        </w:rPr>
        <w:t xml:space="preserve"> </w:t>
      </w:r>
      <w:r>
        <w:t>dari</w:t>
      </w:r>
      <w:r>
        <w:rPr>
          <w:spacing w:val="-12"/>
        </w:rPr>
        <w:t xml:space="preserve"> </w:t>
      </w:r>
      <w:r>
        <w:t>PT</w:t>
      </w:r>
      <w:r>
        <w:rPr>
          <w:spacing w:val="-13"/>
        </w:rPr>
        <w:t xml:space="preserve"> </w:t>
      </w:r>
      <w:r>
        <w:t>Bank</w:t>
      </w:r>
      <w:r>
        <w:rPr>
          <w:spacing w:val="-12"/>
        </w:rPr>
        <w:t xml:space="preserve"> </w:t>
      </w:r>
      <w:r>
        <w:t>Rakyat</w:t>
      </w:r>
      <w:r>
        <w:rPr>
          <w:spacing w:val="-13"/>
        </w:rPr>
        <w:t xml:space="preserve"> </w:t>
      </w:r>
      <w:r>
        <w:t xml:space="preserve">Indonesia (Persero) Tbk (BRI atau Bank BRI) serta entitas asosiasi dari Holding BUMN Danareksa. Dengan pengalaman lebih dari 30 tahun sebagai </w:t>
      </w:r>
      <w:r>
        <w:rPr>
          <w:i/>
        </w:rPr>
        <w:t>one stop financial solution provider</w:t>
      </w:r>
      <w:r>
        <w:t>, perusahaan telah melayani nasabah</w:t>
      </w:r>
      <w:r>
        <w:rPr>
          <w:spacing w:val="-2"/>
        </w:rPr>
        <w:t xml:space="preserve"> </w:t>
      </w:r>
      <w:r>
        <w:t>baik</w:t>
      </w:r>
      <w:r>
        <w:rPr>
          <w:spacing w:val="-3"/>
        </w:rPr>
        <w:t xml:space="preserve"> </w:t>
      </w:r>
      <w:r>
        <w:t>individual</w:t>
      </w:r>
      <w:r>
        <w:rPr>
          <w:spacing w:val="-3"/>
        </w:rPr>
        <w:t xml:space="preserve"> </w:t>
      </w:r>
      <w:r>
        <w:t>maupun</w:t>
      </w:r>
      <w:r>
        <w:rPr>
          <w:spacing w:val="-1"/>
        </w:rPr>
        <w:t xml:space="preserve"> </w:t>
      </w:r>
      <w:r>
        <w:t>institusi;</w:t>
      </w:r>
      <w:r>
        <w:rPr>
          <w:spacing w:val="-3"/>
        </w:rPr>
        <w:t xml:space="preserve"> </w:t>
      </w:r>
      <w:r>
        <w:t>domestik</w:t>
      </w:r>
      <w:r>
        <w:rPr>
          <w:spacing w:val="-5"/>
        </w:rPr>
        <w:t xml:space="preserve"> </w:t>
      </w:r>
      <w:r>
        <w:t>maupun</w:t>
      </w:r>
      <w:r>
        <w:rPr>
          <w:spacing w:val="-1"/>
        </w:rPr>
        <w:t xml:space="preserve"> </w:t>
      </w:r>
      <w:r>
        <w:t>internasional; lembaga</w:t>
      </w:r>
      <w:r>
        <w:rPr>
          <w:spacing w:val="-1"/>
        </w:rPr>
        <w:t xml:space="preserve"> </w:t>
      </w:r>
      <w:r>
        <w:t>Pemerintah</w:t>
      </w:r>
      <w:r>
        <w:rPr>
          <w:spacing w:val="-4"/>
        </w:rPr>
        <w:t xml:space="preserve"> </w:t>
      </w:r>
      <w:r>
        <w:t>maupun swasta. BRI Danareksa Sekuritas memiliki pengalaman terbanyak dalam menangani</w:t>
      </w:r>
      <w:r>
        <w:rPr>
          <w:spacing w:val="40"/>
        </w:rPr>
        <w:t xml:space="preserve"> </w:t>
      </w:r>
      <w:r>
        <w:t xml:space="preserve">pasar modal, baik sebagai </w:t>
      </w:r>
      <w:r>
        <w:rPr>
          <w:i/>
        </w:rPr>
        <w:t>underwriter</w:t>
      </w:r>
      <w:r>
        <w:t xml:space="preserve">, </w:t>
      </w:r>
      <w:r>
        <w:rPr>
          <w:i/>
        </w:rPr>
        <w:t xml:space="preserve">broker </w:t>
      </w:r>
      <w:r>
        <w:t xml:space="preserve">dan </w:t>
      </w:r>
      <w:r>
        <w:rPr>
          <w:i/>
        </w:rPr>
        <w:t>financial advisor</w:t>
      </w:r>
      <w:r>
        <w:t xml:space="preserve">. Khusus untuk nasabah individu, perusahaan menyediakan digital </w:t>
      </w:r>
      <w:r>
        <w:rPr>
          <w:i/>
        </w:rPr>
        <w:t xml:space="preserve">multi-investment platform </w:t>
      </w:r>
      <w:r>
        <w:t>yang terintegrasi dan memudahkan nasabah dalam bertransaksi beragam produk pasar modal.</w:t>
      </w:r>
    </w:p>
    <w:p w14:paraId="53B869DB" w14:textId="77777777" w:rsidR="00221F5B" w:rsidRDefault="00221F5B">
      <w:pPr>
        <w:pStyle w:val="BodyText"/>
        <w:spacing w:before="24"/>
      </w:pPr>
    </w:p>
    <w:p w14:paraId="64C1D9C3" w14:textId="77777777" w:rsidR="00221F5B" w:rsidRDefault="00000000">
      <w:pPr>
        <w:pStyle w:val="BodyText"/>
      </w:pPr>
      <w:r>
        <w:t>Untuk</w:t>
      </w:r>
      <w:r>
        <w:rPr>
          <w:spacing w:val="-5"/>
        </w:rPr>
        <w:t xml:space="preserve"> </w:t>
      </w:r>
      <w:r>
        <w:t>informasi</w:t>
      </w:r>
      <w:r>
        <w:rPr>
          <w:spacing w:val="-8"/>
        </w:rPr>
        <w:t xml:space="preserve"> </w:t>
      </w:r>
      <w:r>
        <w:t>lebih</w:t>
      </w:r>
      <w:r>
        <w:rPr>
          <w:spacing w:val="-7"/>
        </w:rPr>
        <w:t xml:space="preserve"> </w:t>
      </w:r>
      <w:r>
        <w:t>lanjut,</w:t>
      </w:r>
      <w:r>
        <w:rPr>
          <w:spacing w:val="-4"/>
        </w:rPr>
        <w:t xml:space="preserve"> </w:t>
      </w:r>
      <w:r>
        <w:rPr>
          <w:spacing w:val="-2"/>
        </w:rPr>
        <w:t>hubungi:</w:t>
      </w:r>
    </w:p>
    <w:p w14:paraId="7BCBFA8F" w14:textId="77777777" w:rsidR="00221F5B" w:rsidRDefault="00221F5B">
      <w:pPr>
        <w:pStyle w:val="BodyText"/>
        <w:spacing w:before="1"/>
      </w:pPr>
    </w:p>
    <w:p w14:paraId="5B582F4B" w14:textId="77777777" w:rsidR="00221F5B" w:rsidRDefault="00000000">
      <w:pPr>
        <w:pStyle w:val="Heading1"/>
        <w:rPr>
          <w:u w:val="none"/>
        </w:rPr>
      </w:pPr>
      <w:r>
        <w:rPr>
          <w:u w:val="none"/>
        </w:rPr>
        <w:t>Moh.</w:t>
      </w:r>
      <w:r>
        <w:rPr>
          <w:spacing w:val="-2"/>
          <w:u w:val="none"/>
        </w:rPr>
        <w:t xml:space="preserve"> </w:t>
      </w:r>
      <w:r>
        <w:rPr>
          <w:u w:val="none"/>
        </w:rPr>
        <w:t>Burhan</w:t>
      </w:r>
      <w:r>
        <w:rPr>
          <w:spacing w:val="-4"/>
          <w:u w:val="none"/>
        </w:rPr>
        <w:t xml:space="preserve"> </w:t>
      </w:r>
      <w:r>
        <w:rPr>
          <w:u w:val="none"/>
        </w:rPr>
        <w:t>S.</w:t>
      </w:r>
      <w:r>
        <w:rPr>
          <w:spacing w:val="-1"/>
          <w:u w:val="none"/>
        </w:rPr>
        <w:t xml:space="preserve"> </w:t>
      </w:r>
      <w:r>
        <w:rPr>
          <w:spacing w:val="-2"/>
          <w:u w:val="none"/>
        </w:rPr>
        <w:t>Widodo</w:t>
      </w:r>
    </w:p>
    <w:p w14:paraId="611B2716" w14:textId="77777777" w:rsidR="00221F5B" w:rsidRDefault="00000000">
      <w:pPr>
        <w:rPr>
          <w:i/>
        </w:rPr>
      </w:pPr>
      <w:r>
        <w:rPr>
          <w:i/>
        </w:rPr>
        <w:t>Corporate</w:t>
      </w:r>
      <w:r>
        <w:rPr>
          <w:i/>
          <w:spacing w:val="-2"/>
        </w:rPr>
        <w:t xml:space="preserve"> Secretary</w:t>
      </w:r>
    </w:p>
    <w:p w14:paraId="69B764D6" w14:textId="77777777" w:rsidR="00221F5B" w:rsidRDefault="00000000">
      <w:pPr>
        <w:pStyle w:val="BodyText"/>
        <w:ind w:right="7107"/>
      </w:pPr>
      <w:r>
        <w:t>PT</w:t>
      </w:r>
      <w:r>
        <w:rPr>
          <w:spacing w:val="-13"/>
        </w:rPr>
        <w:t xml:space="preserve"> </w:t>
      </w:r>
      <w:r>
        <w:t>BRI</w:t>
      </w:r>
      <w:r>
        <w:rPr>
          <w:spacing w:val="-12"/>
        </w:rPr>
        <w:t xml:space="preserve"> </w:t>
      </w:r>
      <w:r>
        <w:t>Danareksa</w:t>
      </w:r>
      <w:r>
        <w:rPr>
          <w:spacing w:val="-12"/>
        </w:rPr>
        <w:t xml:space="preserve"> </w:t>
      </w:r>
      <w:r>
        <w:t>Sekuritas M: +62 815 8555 5091</w:t>
      </w:r>
    </w:p>
    <w:p w14:paraId="3BA44A85" w14:textId="77777777" w:rsidR="00221F5B" w:rsidRDefault="00000000">
      <w:pPr>
        <w:pStyle w:val="BodyText"/>
        <w:spacing w:before="1"/>
      </w:pPr>
      <w:r>
        <w:t>E:</w:t>
      </w:r>
      <w:r>
        <w:rPr>
          <w:spacing w:val="1"/>
        </w:rPr>
        <w:t xml:space="preserve"> </w:t>
      </w:r>
      <w:hyperlink r:id="rId9">
        <w:r>
          <w:rPr>
            <w:color w:val="0000FF"/>
            <w:spacing w:val="-2"/>
            <w:u w:val="single" w:color="0000FF"/>
          </w:rPr>
          <w:t>corsec@brids.co.id</w:t>
        </w:r>
      </w:hyperlink>
    </w:p>
    <w:p w14:paraId="28CBB5EC" w14:textId="77777777" w:rsidR="00221F5B" w:rsidRDefault="00221F5B">
      <w:pPr>
        <w:pStyle w:val="BodyText"/>
        <w:spacing w:before="51"/>
        <w:rPr>
          <w:sz w:val="20"/>
        </w:rPr>
      </w:pPr>
    </w:p>
    <w:p w14:paraId="2A0EDDE7" w14:textId="77777777" w:rsidR="00221F5B" w:rsidRDefault="00000000">
      <w:pPr>
        <w:rPr>
          <w:sz w:val="20"/>
        </w:rPr>
      </w:pPr>
      <w:r>
        <w:rPr>
          <w:color w:val="004A93"/>
          <w:sz w:val="20"/>
        </w:rPr>
        <w:t>BRI</w:t>
      </w:r>
      <w:r>
        <w:rPr>
          <w:color w:val="004A93"/>
          <w:spacing w:val="-8"/>
          <w:sz w:val="20"/>
        </w:rPr>
        <w:t xml:space="preserve"> </w:t>
      </w:r>
      <w:r>
        <w:rPr>
          <w:color w:val="004A93"/>
          <w:sz w:val="20"/>
        </w:rPr>
        <w:t>Danareksa</w:t>
      </w:r>
      <w:r>
        <w:rPr>
          <w:color w:val="004A93"/>
          <w:spacing w:val="-7"/>
          <w:sz w:val="20"/>
        </w:rPr>
        <w:t xml:space="preserve"> </w:t>
      </w:r>
      <w:r>
        <w:rPr>
          <w:color w:val="004A93"/>
          <w:sz w:val="20"/>
        </w:rPr>
        <w:t>Sekuritas</w:t>
      </w:r>
      <w:r>
        <w:rPr>
          <w:color w:val="004A93"/>
          <w:spacing w:val="-5"/>
          <w:sz w:val="20"/>
        </w:rPr>
        <w:t xml:space="preserve"> </w:t>
      </w:r>
      <w:r>
        <w:rPr>
          <w:sz w:val="20"/>
        </w:rPr>
        <w:t>terdaftar</w:t>
      </w:r>
      <w:r>
        <w:rPr>
          <w:spacing w:val="-7"/>
          <w:sz w:val="20"/>
        </w:rPr>
        <w:t xml:space="preserve"> </w:t>
      </w:r>
      <w:r>
        <w:rPr>
          <w:sz w:val="20"/>
        </w:rPr>
        <w:t>dan</w:t>
      </w:r>
      <w:r>
        <w:rPr>
          <w:spacing w:val="-6"/>
          <w:sz w:val="20"/>
        </w:rPr>
        <w:t xml:space="preserve"> </w:t>
      </w:r>
      <w:r>
        <w:rPr>
          <w:sz w:val="20"/>
        </w:rPr>
        <w:t>diawasi</w:t>
      </w:r>
      <w:r>
        <w:rPr>
          <w:spacing w:val="-8"/>
          <w:sz w:val="20"/>
        </w:rPr>
        <w:t xml:space="preserve"> </w:t>
      </w:r>
      <w:r>
        <w:rPr>
          <w:sz w:val="20"/>
        </w:rPr>
        <w:t>oleh</w:t>
      </w:r>
      <w:r>
        <w:rPr>
          <w:spacing w:val="-6"/>
          <w:sz w:val="20"/>
        </w:rPr>
        <w:t xml:space="preserve"> </w:t>
      </w:r>
      <w:r>
        <w:rPr>
          <w:sz w:val="20"/>
        </w:rPr>
        <w:t>Otoritas</w:t>
      </w:r>
      <w:r>
        <w:rPr>
          <w:spacing w:val="-8"/>
          <w:sz w:val="20"/>
        </w:rPr>
        <w:t xml:space="preserve"> </w:t>
      </w:r>
      <w:r>
        <w:rPr>
          <w:sz w:val="20"/>
        </w:rPr>
        <w:t>Jasa</w:t>
      </w:r>
      <w:r>
        <w:rPr>
          <w:spacing w:val="-7"/>
          <w:sz w:val="20"/>
        </w:rPr>
        <w:t xml:space="preserve"> </w:t>
      </w:r>
      <w:r>
        <w:rPr>
          <w:sz w:val="20"/>
        </w:rPr>
        <w:t>Keuangan</w:t>
      </w:r>
      <w:r>
        <w:rPr>
          <w:spacing w:val="-7"/>
          <w:sz w:val="20"/>
        </w:rPr>
        <w:t xml:space="preserve"> </w:t>
      </w:r>
      <w:r>
        <w:rPr>
          <w:spacing w:val="-2"/>
          <w:sz w:val="20"/>
        </w:rPr>
        <w:t>(OJK).</w:t>
      </w:r>
    </w:p>
    <w:sectPr w:rsidR="00221F5B">
      <w:pgSz w:w="12240" w:h="15840"/>
      <w:pgMar w:top="1700" w:right="1080" w:bottom="1040" w:left="1440" w:header="720" w:footer="8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33D9F" w14:textId="77777777" w:rsidR="000E6CA8" w:rsidRDefault="000E6CA8">
      <w:r>
        <w:separator/>
      </w:r>
    </w:p>
  </w:endnote>
  <w:endnote w:type="continuationSeparator" w:id="0">
    <w:p w14:paraId="49089310" w14:textId="77777777" w:rsidR="000E6CA8" w:rsidRDefault="000E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15EF" w14:textId="77777777" w:rsidR="00221F5B" w:rsidRDefault="00000000">
    <w:pPr>
      <w:pStyle w:val="BodyText"/>
      <w:spacing w:line="14" w:lineRule="auto"/>
      <w:rPr>
        <w:sz w:val="20"/>
      </w:rPr>
    </w:pPr>
    <w:r>
      <w:rPr>
        <w:noProof/>
        <w:sz w:val="20"/>
      </w:rPr>
      <mc:AlternateContent>
        <mc:Choice Requires="wps">
          <w:drawing>
            <wp:anchor distT="0" distB="0" distL="0" distR="0" simplePos="0" relativeHeight="487547392" behindDoc="1" locked="0" layoutInCell="1" allowOverlap="1" wp14:anchorId="27C607F0" wp14:editId="732B38A8">
              <wp:simplePos x="0" y="0"/>
              <wp:positionH relativeFrom="page">
                <wp:posOffset>3813936</wp:posOffset>
              </wp:positionH>
              <wp:positionV relativeFrom="page">
                <wp:posOffset>9379711</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C298741" w14:textId="77777777" w:rsidR="00221F5B" w:rsidRDefault="00000000">
                          <w:pPr>
                            <w:pStyle w:val="BodyText"/>
                            <w:spacing w:line="245" w:lineRule="exact"/>
                            <w:ind w:left="60"/>
                          </w:pPr>
                          <w:r>
                            <w:rPr>
                              <w:color w:val="4471C4"/>
                              <w:spacing w:val="-10"/>
                            </w:rPr>
                            <w:fldChar w:fldCharType="begin"/>
                          </w:r>
                          <w:r>
                            <w:rPr>
                              <w:color w:val="4471C4"/>
                              <w:spacing w:val="-10"/>
                            </w:rPr>
                            <w:instrText xml:space="preserve"> PAGE </w:instrText>
                          </w:r>
                          <w:r>
                            <w:rPr>
                              <w:color w:val="4471C4"/>
                              <w:spacing w:val="-10"/>
                            </w:rPr>
                            <w:fldChar w:fldCharType="separate"/>
                          </w:r>
                          <w:r>
                            <w:rPr>
                              <w:color w:val="4471C4"/>
                              <w:spacing w:val="-10"/>
                            </w:rPr>
                            <w:t>1</w:t>
                          </w:r>
                          <w:r>
                            <w:rPr>
                              <w:color w:val="4471C4"/>
                              <w:spacing w:val="-10"/>
                            </w:rPr>
                            <w:fldChar w:fldCharType="end"/>
                          </w:r>
                        </w:p>
                      </w:txbxContent>
                    </wps:txbx>
                    <wps:bodyPr wrap="square" lIns="0" tIns="0" rIns="0" bIns="0" rtlCol="0">
                      <a:noAutofit/>
                    </wps:bodyPr>
                  </wps:wsp>
                </a:graphicData>
              </a:graphic>
            </wp:anchor>
          </w:drawing>
        </mc:Choice>
        <mc:Fallback>
          <w:pict>
            <v:shapetype w14:anchorId="27C607F0" id="_x0000_t202" coordsize="21600,21600" o:spt="202" path="m,l,21600r21600,l21600,xe">
              <v:stroke joinstyle="miter"/>
              <v:path gradientshapeok="t" o:connecttype="rect"/>
            </v:shapetype>
            <v:shape id="Textbox 2" o:spid="_x0000_s1026" type="#_x0000_t202" style="position:absolute;margin-left:300.3pt;margin-top:738.55pt;width:12.6pt;height:13.0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" filled="f" stroked="f">
              <v:textbox inset="0,0,0,0">
                <w:txbxContent>
                  <w:p w14:paraId="5C298741" w14:textId="77777777" w:rsidR="00221F5B" w:rsidRDefault="00000000">
                    <w:pPr>
                      <w:pStyle w:val="BodyText"/>
                      <w:spacing w:line="245" w:lineRule="exact"/>
                      <w:ind w:left="60"/>
                    </w:pPr>
                    <w:r>
                      <w:rPr>
                        <w:color w:val="4471C4"/>
                        <w:spacing w:val="-10"/>
                      </w:rPr>
                      <w:fldChar w:fldCharType="begin"/>
                    </w:r>
                    <w:r>
                      <w:rPr>
                        <w:color w:val="4471C4"/>
                        <w:spacing w:val="-10"/>
                      </w:rPr>
                      <w:instrText xml:space="preserve"> PAGE </w:instrText>
                    </w:r>
                    <w:r>
                      <w:rPr>
                        <w:color w:val="4471C4"/>
                        <w:spacing w:val="-10"/>
                      </w:rPr>
                      <w:fldChar w:fldCharType="separate"/>
                    </w:r>
                    <w:r>
                      <w:rPr>
                        <w:color w:val="4471C4"/>
                        <w:spacing w:val="-10"/>
                      </w:rPr>
                      <w:t>1</w:t>
                    </w:r>
                    <w:r>
                      <w:rPr>
                        <w:color w:val="4471C4"/>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6EE4E" w14:textId="77777777" w:rsidR="000E6CA8" w:rsidRDefault="000E6CA8">
      <w:r>
        <w:separator/>
      </w:r>
    </w:p>
  </w:footnote>
  <w:footnote w:type="continuationSeparator" w:id="0">
    <w:p w14:paraId="1C54FFFC" w14:textId="77777777" w:rsidR="000E6CA8" w:rsidRDefault="000E6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01F1" w14:textId="77777777" w:rsidR="00221F5B" w:rsidRDefault="00000000">
    <w:pPr>
      <w:pStyle w:val="BodyText"/>
      <w:spacing w:line="14" w:lineRule="auto"/>
      <w:rPr>
        <w:sz w:val="20"/>
      </w:rPr>
    </w:pPr>
    <w:r>
      <w:rPr>
        <w:noProof/>
        <w:sz w:val="20"/>
      </w:rPr>
      <w:drawing>
        <wp:anchor distT="0" distB="0" distL="0" distR="0" simplePos="0" relativeHeight="487546880" behindDoc="1" locked="0" layoutInCell="1" allowOverlap="1" wp14:anchorId="14EFBF28" wp14:editId="4C851010">
          <wp:simplePos x="0" y="0"/>
          <wp:positionH relativeFrom="page">
            <wp:posOffset>5153659</wp:posOffset>
          </wp:positionH>
          <wp:positionV relativeFrom="page">
            <wp:posOffset>457212</wp:posOffset>
          </wp:positionV>
          <wp:extent cx="1704339" cy="47941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04339" cy="47941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5B"/>
    <w:rsid w:val="000E6CA8"/>
    <w:rsid w:val="00221F5B"/>
    <w:rsid w:val="002832E2"/>
    <w:rsid w:val="003E055E"/>
    <w:rsid w:val="007F7F72"/>
    <w:rsid w:val="00C633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900D"/>
  <w15:docId w15:val="{702A8E8F-8045-4F30-90C2-87C6ACCA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id"/>
    </w:rPr>
  </w:style>
  <w:style w:type="paragraph" w:styleId="Heading1">
    <w:name w:val="heading 1"/>
    <w:basedOn w:val="Normal"/>
    <w:uiPriority w:val="9"/>
    <w:qFormat/>
    <w:pP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
      <w:ind w:right="354"/>
      <w:jc w:val="both"/>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orsec@brids.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Fitria Milliana</dc:creator>
  <cp:lastModifiedBy>Anisa Aldanur Koto</cp:lastModifiedBy>
  <cp:revision>2</cp:revision>
  <dcterms:created xsi:type="dcterms:W3CDTF">2025-07-15T04:40:00Z</dcterms:created>
  <dcterms:modified xsi:type="dcterms:W3CDTF">2025-07-15T04:40:00Z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Microsoft® Word for Microsoft 365</vt:lpwstr>
  </property>
  <property fmtid="{D5CDD505-2E9C-101B-9397-08002B2CF9AE}" pid="4" name="LastSaved">
    <vt:filetime>2025-07-15T00:00:00Z</vt:filetime>
  </property>
  <property fmtid="{D5CDD505-2E9C-101B-9397-08002B2CF9AE}" pid="5" name="Producer">
    <vt:lpwstr>Microsoft® Word for Microsoft 365</vt:lpwstr>
  </property>
</Properties>
</file>