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5D645" w14:textId="523E5B92" w:rsidR="007944BD" w:rsidRPr="003C037F" w:rsidRDefault="00A76908" w:rsidP="00777361">
      <w:pPr>
        <w:jc w:val="both"/>
        <w:rPr>
          <w:rFonts w:asciiTheme="minorHAnsi" w:hAnsiTheme="minorHAnsi" w:cstheme="minorHAnsi"/>
          <w:b/>
          <w:bCs/>
          <w:noProof/>
          <w:sz w:val="24"/>
          <w:szCs w:val="24"/>
          <w:lang w:val="id-ID"/>
        </w:rPr>
      </w:pPr>
      <w:r w:rsidRPr="003C037F">
        <w:rPr>
          <w:rFonts w:asciiTheme="minorHAnsi" w:hAnsiTheme="minorHAnsi" w:cstheme="minorHAnsi"/>
          <w:b/>
          <w:bCs/>
          <w:noProof/>
          <w:sz w:val="24"/>
          <w:szCs w:val="24"/>
          <w:lang w:val="id-ID"/>
        </w:rPr>
        <w:t>SIARAN PERS</w:t>
      </w:r>
    </w:p>
    <w:p w14:paraId="62EB51A7" w14:textId="2EAA6D41" w:rsidR="008072DA" w:rsidRDefault="001F4A62" w:rsidP="00777361">
      <w:pPr>
        <w:jc w:val="both"/>
        <w:rPr>
          <w:rFonts w:asciiTheme="minorHAnsi" w:hAnsiTheme="minorHAnsi" w:cstheme="minorHAnsi"/>
          <w:b/>
          <w:bCs/>
          <w:noProof/>
          <w:sz w:val="24"/>
          <w:szCs w:val="24"/>
          <w:lang w:val="id-ID"/>
        </w:rPr>
      </w:pPr>
      <w:r>
        <w:rPr>
          <w:rFonts w:asciiTheme="minorHAnsi" w:hAnsiTheme="minorHAnsi" w:cstheme="minorHAnsi"/>
          <w:b/>
          <w:bCs/>
          <w:noProof/>
          <w:sz w:val="24"/>
          <w:szCs w:val="24"/>
          <w:lang w:val="id-ID"/>
        </w:rPr>
        <w:t xml:space="preserve">Dukung Pendalaman </w:t>
      </w:r>
      <w:r w:rsidR="00355CF7">
        <w:rPr>
          <w:rFonts w:asciiTheme="minorHAnsi" w:hAnsiTheme="minorHAnsi" w:cstheme="minorHAnsi"/>
          <w:b/>
          <w:bCs/>
          <w:noProof/>
          <w:sz w:val="24"/>
          <w:szCs w:val="24"/>
          <w:lang w:val="id-ID"/>
        </w:rPr>
        <w:t xml:space="preserve">Pasar Modal </w:t>
      </w:r>
      <w:r w:rsidR="00615AC1">
        <w:rPr>
          <w:rFonts w:asciiTheme="minorHAnsi" w:hAnsiTheme="minorHAnsi" w:cstheme="minorHAnsi"/>
          <w:b/>
          <w:bCs/>
          <w:noProof/>
          <w:sz w:val="24"/>
          <w:szCs w:val="24"/>
          <w:lang w:val="id-ID"/>
        </w:rPr>
        <w:t>Lewat</w:t>
      </w:r>
      <w:r w:rsidR="00355CF7">
        <w:rPr>
          <w:rFonts w:asciiTheme="minorHAnsi" w:hAnsiTheme="minorHAnsi" w:cstheme="minorHAnsi"/>
          <w:b/>
          <w:bCs/>
          <w:noProof/>
          <w:sz w:val="24"/>
          <w:szCs w:val="24"/>
          <w:lang w:val="id-ID"/>
        </w:rPr>
        <w:t xml:space="preserve"> Riset Relevan </w:t>
      </w:r>
      <w:r w:rsidR="00D714F7">
        <w:rPr>
          <w:rFonts w:asciiTheme="minorHAnsi" w:hAnsiTheme="minorHAnsi" w:cstheme="minorHAnsi"/>
          <w:b/>
          <w:bCs/>
          <w:noProof/>
          <w:sz w:val="24"/>
          <w:szCs w:val="24"/>
          <w:lang w:val="id-ID"/>
        </w:rPr>
        <w:t>dan Akurat,</w:t>
      </w:r>
      <w:r w:rsidR="00A22E33">
        <w:rPr>
          <w:rFonts w:asciiTheme="minorHAnsi" w:hAnsiTheme="minorHAnsi" w:cstheme="minorHAnsi"/>
          <w:b/>
          <w:bCs/>
          <w:noProof/>
          <w:sz w:val="24"/>
          <w:szCs w:val="24"/>
          <w:lang w:val="id-ID"/>
        </w:rPr>
        <w:t xml:space="preserve"> BRIDS</w:t>
      </w:r>
      <w:r w:rsidR="008072DA" w:rsidRPr="003C037F">
        <w:rPr>
          <w:rFonts w:asciiTheme="minorHAnsi" w:hAnsiTheme="minorHAnsi" w:cstheme="minorHAnsi"/>
          <w:b/>
          <w:bCs/>
          <w:noProof/>
          <w:sz w:val="24"/>
          <w:szCs w:val="24"/>
          <w:lang w:val="id-ID"/>
        </w:rPr>
        <w:t xml:space="preserve"> Kembali Raih Pengakuan </w:t>
      </w:r>
      <w:r w:rsidR="00962311">
        <w:rPr>
          <w:rFonts w:asciiTheme="minorHAnsi" w:hAnsiTheme="minorHAnsi" w:cstheme="minorHAnsi"/>
          <w:b/>
          <w:bCs/>
          <w:noProof/>
          <w:sz w:val="24"/>
          <w:szCs w:val="24"/>
          <w:lang w:val="id-ID"/>
        </w:rPr>
        <w:t xml:space="preserve">Riset </w:t>
      </w:r>
      <w:r w:rsidR="008072DA" w:rsidRPr="003C037F">
        <w:rPr>
          <w:rFonts w:asciiTheme="minorHAnsi" w:hAnsiTheme="minorHAnsi" w:cstheme="minorHAnsi"/>
          <w:b/>
          <w:bCs/>
          <w:noProof/>
          <w:sz w:val="24"/>
          <w:szCs w:val="24"/>
          <w:lang w:val="id-ID"/>
        </w:rPr>
        <w:t>Global</w:t>
      </w:r>
    </w:p>
    <w:p w14:paraId="49EE0004" w14:textId="77777777" w:rsidR="003C037F" w:rsidRPr="003C037F" w:rsidRDefault="003C037F" w:rsidP="00777361">
      <w:pPr>
        <w:jc w:val="both"/>
        <w:rPr>
          <w:rFonts w:asciiTheme="minorHAnsi" w:hAnsiTheme="minorHAnsi" w:cstheme="minorHAnsi"/>
          <w:b/>
          <w:bCs/>
          <w:noProof/>
          <w:sz w:val="24"/>
          <w:szCs w:val="24"/>
          <w:lang w:val="id-ID"/>
        </w:rPr>
      </w:pPr>
    </w:p>
    <w:p w14:paraId="2AC12F7A" w14:textId="595229E9" w:rsidR="001622B0" w:rsidRDefault="00A76908" w:rsidP="00777361">
      <w:pPr>
        <w:jc w:val="both"/>
        <w:rPr>
          <w:rFonts w:asciiTheme="minorHAnsi" w:hAnsiTheme="minorHAnsi" w:cstheme="minorHAnsi"/>
          <w:noProof/>
          <w:sz w:val="22"/>
          <w:szCs w:val="22"/>
          <w:lang w:val="id-ID"/>
        </w:rPr>
      </w:pPr>
      <w:r w:rsidRPr="003C037F">
        <w:rPr>
          <w:rFonts w:asciiTheme="minorHAnsi" w:hAnsiTheme="minorHAnsi" w:cstheme="minorHAnsi"/>
          <w:b/>
          <w:bCs/>
          <w:noProof/>
          <w:sz w:val="22"/>
          <w:szCs w:val="22"/>
          <w:lang w:val="id-ID"/>
        </w:rPr>
        <w:t xml:space="preserve">Jakarta, </w:t>
      </w:r>
      <w:r w:rsidR="00A22E33">
        <w:rPr>
          <w:rFonts w:asciiTheme="minorHAnsi" w:hAnsiTheme="minorHAnsi" w:cstheme="minorHAnsi"/>
          <w:b/>
          <w:bCs/>
          <w:noProof/>
          <w:sz w:val="22"/>
          <w:szCs w:val="22"/>
          <w:lang w:val="id-ID"/>
        </w:rPr>
        <w:t>20</w:t>
      </w:r>
      <w:r w:rsidRPr="003C037F">
        <w:rPr>
          <w:rFonts w:asciiTheme="minorHAnsi" w:hAnsiTheme="minorHAnsi" w:cstheme="minorHAnsi"/>
          <w:b/>
          <w:bCs/>
          <w:noProof/>
          <w:sz w:val="22"/>
          <w:szCs w:val="22"/>
          <w:lang w:val="id-ID"/>
        </w:rPr>
        <w:t xml:space="preserve"> </w:t>
      </w:r>
      <w:r w:rsidR="00502FF5">
        <w:rPr>
          <w:rFonts w:asciiTheme="minorHAnsi" w:hAnsiTheme="minorHAnsi" w:cstheme="minorHAnsi"/>
          <w:b/>
          <w:bCs/>
          <w:noProof/>
          <w:sz w:val="22"/>
          <w:szCs w:val="22"/>
          <w:lang w:val="id-ID"/>
        </w:rPr>
        <w:t>Agustus</w:t>
      </w:r>
      <w:r w:rsidRPr="003C037F">
        <w:rPr>
          <w:rFonts w:asciiTheme="minorHAnsi" w:hAnsiTheme="minorHAnsi" w:cstheme="minorHAnsi"/>
          <w:b/>
          <w:bCs/>
          <w:noProof/>
          <w:sz w:val="22"/>
          <w:szCs w:val="22"/>
          <w:lang w:val="id-ID"/>
        </w:rPr>
        <w:t xml:space="preserve"> 2026</w:t>
      </w:r>
      <w:r w:rsidRPr="003C037F">
        <w:rPr>
          <w:rFonts w:asciiTheme="minorHAnsi" w:hAnsiTheme="minorHAnsi" w:cstheme="minorHAnsi"/>
          <w:noProof/>
          <w:sz w:val="22"/>
          <w:szCs w:val="22"/>
          <w:lang w:val="id-ID"/>
        </w:rPr>
        <w:t xml:space="preserve"> - Sepanjang 2025 hingga awal 2026, pasar modal Indonesia bergerak di tengah sejumlah dinamika besar, mulai dari siklus pelonggaran suku bunga Bank Indonesia, fluktuasi harga komoditas seperti nikel dan batu bara, hingga migrasi minat investor ke saham-saham mid dan small-cap. Di tengah dinamika ini, kebutuhan riset pasar modal yang tajam dan tepat waktu menjadi semakin penting bagi investor, baik individu maupun institusi, sebagai pijakan pengambilan keputusan investasi.</w:t>
      </w:r>
    </w:p>
    <w:p w14:paraId="32439AE4" w14:textId="77777777" w:rsidR="003C037F" w:rsidRPr="003C037F" w:rsidRDefault="003C037F" w:rsidP="00777361">
      <w:pPr>
        <w:jc w:val="both"/>
        <w:rPr>
          <w:rFonts w:asciiTheme="minorHAnsi" w:hAnsiTheme="minorHAnsi" w:cstheme="minorHAnsi"/>
          <w:noProof/>
          <w:sz w:val="22"/>
          <w:szCs w:val="22"/>
          <w:lang w:val="id-ID"/>
        </w:rPr>
      </w:pPr>
    </w:p>
    <w:p w14:paraId="3D887CBD" w14:textId="77777777" w:rsidR="008750E2" w:rsidRDefault="00303B37" w:rsidP="00777361">
      <w:pPr>
        <w:jc w:val="both"/>
        <w:rPr>
          <w:rFonts w:asciiTheme="minorHAnsi" w:hAnsiTheme="minorHAnsi" w:cstheme="minorHAnsi"/>
          <w:noProof/>
          <w:sz w:val="22"/>
          <w:szCs w:val="22"/>
          <w:lang w:val="id-ID"/>
        </w:rPr>
      </w:pPr>
      <w:r w:rsidRPr="003C037F">
        <w:rPr>
          <w:rFonts w:asciiTheme="minorHAnsi" w:hAnsiTheme="minorHAnsi" w:cstheme="minorHAnsi"/>
          <w:b/>
          <w:bCs/>
          <w:noProof/>
          <w:sz w:val="22"/>
          <w:szCs w:val="22"/>
          <w:lang w:val="id-ID"/>
        </w:rPr>
        <w:t>PT BRI Danareksa Sekuritas (BRIDS)</w:t>
      </w:r>
      <w:r w:rsidRPr="003C037F">
        <w:rPr>
          <w:rFonts w:asciiTheme="minorHAnsi" w:hAnsiTheme="minorHAnsi" w:cstheme="minorHAnsi"/>
          <w:noProof/>
          <w:sz w:val="22"/>
          <w:szCs w:val="22"/>
          <w:lang w:val="id-ID"/>
        </w:rPr>
        <w:t xml:space="preserve"> dinobatkan sebagai pemenang kategori Best for Research (Indonesia) pada pengumuman pemenang Euromoney Awards for Excellence 2026 yang dirilis Euromoney pada Juli 2026: "Winner - Euromoney Awards for Excellence 2026 - Best for Research (Indonesia)." Pengakuan ini melanjutkan capaian serupa yang diraih BRIDS pada Euromoney Awards for Excellence 2025. </w:t>
      </w:r>
    </w:p>
    <w:p w14:paraId="2A589A72" w14:textId="77777777" w:rsidR="008750E2" w:rsidRDefault="008750E2" w:rsidP="00777361">
      <w:pPr>
        <w:jc w:val="both"/>
        <w:rPr>
          <w:rFonts w:asciiTheme="minorHAnsi" w:hAnsiTheme="minorHAnsi" w:cstheme="minorHAnsi"/>
          <w:noProof/>
          <w:sz w:val="22"/>
          <w:szCs w:val="22"/>
          <w:lang w:val="id-ID"/>
        </w:rPr>
      </w:pPr>
    </w:p>
    <w:p w14:paraId="14270F94" w14:textId="382624A5" w:rsidR="00303B37" w:rsidRDefault="00303B37" w:rsidP="00777361">
      <w:pPr>
        <w:jc w:val="both"/>
        <w:rPr>
          <w:rFonts w:asciiTheme="minorHAnsi" w:hAnsiTheme="minorHAnsi" w:cstheme="minorHAnsi"/>
          <w:noProof/>
          <w:sz w:val="22"/>
          <w:szCs w:val="22"/>
          <w:lang w:val="id-ID"/>
        </w:rPr>
      </w:pPr>
      <w:r w:rsidRPr="003C037F">
        <w:rPr>
          <w:rFonts w:asciiTheme="minorHAnsi" w:hAnsiTheme="minorHAnsi" w:cstheme="minorHAnsi"/>
          <w:noProof/>
          <w:sz w:val="22"/>
          <w:szCs w:val="22"/>
          <w:lang w:val="id-ID"/>
        </w:rPr>
        <w:t>Euromoney Awards for Excellence merupakan salah satu ajang penghargaan tertua dan paling dihormati di industri perbankan dan jasa keuangan global, diselenggarakan sejak lebih dari 30 tahun dan menilai institusi keuangan melalui kerangka benchmarking yang mencakup submission terstruktur dan data kuantitatif dari partisipan di lebih dari 100 negara.</w:t>
      </w:r>
    </w:p>
    <w:p w14:paraId="7291505D" w14:textId="77777777" w:rsidR="008750E2" w:rsidRPr="003C037F" w:rsidRDefault="008750E2" w:rsidP="00777361">
      <w:pPr>
        <w:jc w:val="both"/>
        <w:rPr>
          <w:rFonts w:asciiTheme="minorHAnsi" w:hAnsiTheme="minorHAnsi" w:cstheme="minorHAnsi"/>
          <w:noProof/>
          <w:sz w:val="22"/>
          <w:szCs w:val="22"/>
          <w:lang w:val="id-ID"/>
        </w:rPr>
      </w:pPr>
    </w:p>
    <w:p w14:paraId="2B1FC5FD" w14:textId="76718005" w:rsidR="00303B37" w:rsidRDefault="00777361" w:rsidP="00777361">
      <w:pPr>
        <w:jc w:val="both"/>
        <w:rPr>
          <w:rFonts w:asciiTheme="minorHAnsi" w:hAnsiTheme="minorHAnsi" w:cstheme="minorHAnsi"/>
          <w:noProof/>
          <w:sz w:val="22"/>
          <w:szCs w:val="22"/>
          <w:lang w:val="id-ID"/>
        </w:rPr>
      </w:pPr>
      <w:r w:rsidRPr="00962311">
        <w:rPr>
          <w:rFonts w:asciiTheme="minorHAnsi" w:hAnsiTheme="minorHAnsi" w:cstheme="minorHAnsi"/>
          <w:b/>
          <w:bCs/>
          <w:noProof/>
          <w:sz w:val="22"/>
          <w:szCs w:val="22"/>
          <w:lang w:val="id-ID"/>
        </w:rPr>
        <w:t>Plt. Direktur Utama BRIDS, Fifi Virgantria</w:t>
      </w:r>
      <w:r>
        <w:rPr>
          <w:rFonts w:asciiTheme="minorHAnsi" w:hAnsiTheme="minorHAnsi" w:cstheme="minorHAnsi"/>
          <w:noProof/>
          <w:sz w:val="22"/>
          <w:szCs w:val="22"/>
          <w:lang w:val="id-ID"/>
        </w:rPr>
        <w:t xml:space="preserve"> mengungkapkan bahwa p</w:t>
      </w:r>
      <w:r w:rsidR="00303B37" w:rsidRPr="003C037F">
        <w:rPr>
          <w:rFonts w:asciiTheme="minorHAnsi" w:hAnsiTheme="minorHAnsi" w:cstheme="minorHAnsi"/>
          <w:noProof/>
          <w:sz w:val="22"/>
          <w:szCs w:val="22"/>
          <w:lang w:val="id-ID"/>
        </w:rPr>
        <w:t xml:space="preserve">engakuan </w:t>
      </w:r>
      <w:r>
        <w:rPr>
          <w:rFonts w:asciiTheme="minorHAnsi" w:hAnsiTheme="minorHAnsi" w:cstheme="minorHAnsi"/>
          <w:noProof/>
          <w:sz w:val="22"/>
          <w:szCs w:val="22"/>
          <w:lang w:val="id-ID"/>
        </w:rPr>
        <w:t>tersebut</w:t>
      </w:r>
      <w:r w:rsidR="00303B37" w:rsidRPr="003C037F">
        <w:rPr>
          <w:rFonts w:asciiTheme="minorHAnsi" w:hAnsiTheme="minorHAnsi" w:cstheme="minorHAnsi"/>
          <w:noProof/>
          <w:sz w:val="22"/>
          <w:szCs w:val="22"/>
          <w:lang w:val="id-ID"/>
        </w:rPr>
        <w:t xml:space="preserve"> menjadi penyemangat bagi tim riset </w:t>
      </w:r>
      <w:r>
        <w:rPr>
          <w:rFonts w:asciiTheme="minorHAnsi" w:hAnsiTheme="minorHAnsi" w:cstheme="minorHAnsi"/>
          <w:noProof/>
          <w:sz w:val="22"/>
          <w:szCs w:val="22"/>
          <w:lang w:val="id-ID"/>
        </w:rPr>
        <w:t>Perusahaan</w:t>
      </w:r>
      <w:r w:rsidR="00303B37" w:rsidRPr="003C037F">
        <w:rPr>
          <w:rFonts w:asciiTheme="minorHAnsi" w:hAnsiTheme="minorHAnsi" w:cstheme="minorHAnsi"/>
          <w:noProof/>
          <w:sz w:val="22"/>
          <w:szCs w:val="22"/>
          <w:lang w:val="id-ID"/>
        </w:rPr>
        <w:t xml:space="preserve"> untuk terus menghadirkan analisis yang independen, relevan, dan dapat langsung digunakan investor sebagai dasar pengambilan keputusan</w:t>
      </w:r>
      <w:r w:rsidR="000F537B">
        <w:rPr>
          <w:rFonts w:asciiTheme="minorHAnsi" w:hAnsiTheme="minorHAnsi" w:cstheme="minorHAnsi"/>
          <w:noProof/>
          <w:sz w:val="22"/>
          <w:szCs w:val="22"/>
          <w:lang w:val="id-ID"/>
        </w:rPr>
        <w:t>.</w:t>
      </w:r>
      <w:r w:rsidR="00303B37" w:rsidRPr="003C037F">
        <w:rPr>
          <w:rFonts w:asciiTheme="minorHAnsi" w:hAnsiTheme="minorHAnsi" w:cstheme="minorHAnsi"/>
          <w:noProof/>
          <w:sz w:val="22"/>
          <w:szCs w:val="22"/>
          <w:lang w:val="id-ID"/>
        </w:rPr>
        <w:t xml:space="preserve"> "Kami akan terus memperluas cakupan riset dan mengadopsi teknologi baru agar temuan riset kami dapat diakses lebih cepat dan relevan bagi seluruh nasabah, sekaligus turut mendukung pendalaman pasar modal Indonesia</w:t>
      </w:r>
      <w:r w:rsidR="00C8325B">
        <w:rPr>
          <w:rFonts w:asciiTheme="minorHAnsi" w:hAnsiTheme="minorHAnsi" w:cstheme="minorHAnsi"/>
          <w:noProof/>
          <w:sz w:val="22"/>
          <w:szCs w:val="22"/>
          <w:lang w:val="id-ID"/>
        </w:rPr>
        <w:t>,” ujar Fifi.</w:t>
      </w:r>
    </w:p>
    <w:p w14:paraId="5F610172" w14:textId="77777777" w:rsidR="008750E2" w:rsidRPr="003C037F" w:rsidRDefault="008750E2" w:rsidP="00777361">
      <w:pPr>
        <w:jc w:val="both"/>
        <w:rPr>
          <w:rFonts w:asciiTheme="minorHAnsi" w:hAnsiTheme="minorHAnsi" w:cstheme="minorHAnsi"/>
          <w:noProof/>
          <w:sz w:val="22"/>
          <w:szCs w:val="22"/>
          <w:lang w:val="id-ID"/>
        </w:rPr>
      </w:pPr>
    </w:p>
    <w:p w14:paraId="5B5DC243" w14:textId="5196AB75" w:rsidR="00B41CE6" w:rsidRPr="00B41CE6" w:rsidRDefault="00B41CE6" w:rsidP="00B41CE6">
      <w:pPr>
        <w:jc w:val="both"/>
        <w:rPr>
          <w:rFonts w:asciiTheme="minorHAnsi" w:hAnsiTheme="minorHAnsi" w:cstheme="minorHAnsi"/>
          <w:noProof/>
          <w:sz w:val="22"/>
          <w:szCs w:val="22"/>
          <w:lang w:val="id-ID"/>
        </w:rPr>
      </w:pPr>
      <w:r w:rsidRPr="00B41CE6">
        <w:rPr>
          <w:rFonts w:asciiTheme="minorHAnsi" w:hAnsiTheme="minorHAnsi" w:cstheme="minorHAnsi"/>
          <w:noProof/>
          <w:sz w:val="22"/>
          <w:szCs w:val="22"/>
          <w:lang w:val="id-ID"/>
        </w:rPr>
        <w:t xml:space="preserve">Penghargaan ini turut ditopang oleh rekam jejak riset BRIDS sepanjang 2025. Riset tematik makro yang secara konsisten diterbitkan oleh Chief Economist </w:t>
      </w:r>
      <w:r w:rsidR="001351E7">
        <w:rPr>
          <w:rFonts w:asciiTheme="minorHAnsi" w:hAnsiTheme="minorHAnsi" w:cstheme="minorHAnsi"/>
          <w:noProof/>
          <w:sz w:val="22"/>
          <w:szCs w:val="22"/>
          <w:lang w:val="id-ID"/>
        </w:rPr>
        <w:t xml:space="preserve">and Macro Strategis </w:t>
      </w:r>
      <w:r w:rsidRPr="00B41CE6">
        <w:rPr>
          <w:rFonts w:asciiTheme="minorHAnsi" w:hAnsiTheme="minorHAnsi" w:cstheme="minorHAnsi"/>
          <w:noProof/>
          <w:sz w:val="22"/>
          <w:szCs w:val="22"/>
          <w:lang w:val="id-ID"/>
        </w:rPr>
        <w:t>BRIDS</w:t>
      </w:r>
      <w:r w:rsidR="001351E7">
        <w:rPr>
          <w:rFonts w:asciiTheme="minorHAnsi" w:hAnsiTheme="minorHAnsi" w:cstheme="minorHAnsi"/>
          <w:noProof/>
          <w:sz w:val="22"/>
          <w:szCs w:val="22"/>
          <w:lang w:val="id-ID"/>
        </w:rPr>
        <w:t xml:space="preserve"> Helmy Kristanto</w:t>
      </w:r>
      <w:r w:rsidR="00806627">
        <w:rPr>
          <w:rFonts w:asciiTheme="minorHAnsi" w:hAnsiTheme="minorHAnsi" w:cstheme="minorHAnsi"/>
          <w:noProof/>
          <w:sz w:val="22"/>
          <w:szCs w:val="22"/>
          <w:lang w:val="id-ID"/>
        </w:rPr>
        <w:t xml:space="preserve"> </w:t>
      </w:r>
      <w:r w:rsidRPr="00B41CE6">
        <w:rPr>
          <w:rFonts w:asciiTheme="minorHAnsi" w:hAnsiTheme="minorHAnsi" w:cstheme="minorHAnsi"/>
          <w:noProof/>
          <w:sz w:val="22"/>
          <w:szCs w:val="22"/>
          <w:lang w:val="id-ID"/>
        </w:rPr>
        <w:t>tidak hanya memberikan pandangan yang relevan terhadap arah pasar, tetapi juga memperoleh pengakuan dari klien lintas institusi.</w:t>
      </w:r>
    </w:p>
    <w:p w14:paraId="36F2787B" w14:textId="77777777" w:rsidR="00B41CE6" w:rsidRPr="00B41CE6" w:rsidRDefault="00B41CE6" w:rsidP="00B41CE6">
      <w:pPr>
        <w:jc w:val="both"/>
        <w:rPr>
          <w:rFonts w:asciiTheme="minorHAnsi" w:hAnsiTheme="minorHAnsi" w:cstheme="minorHAnsi"/>
          <w:noProof/>
          <w:sz w:val="22"/>
          <w:szCs w:val="22"/>
          <w:lang w:val="id-ID"/>
        </w:rPr>
      </w:pPr>
    </w:p>
    <w:p w14:paraId="2D7B70F5" w14:textId="5B28EBBE" w:rsidR="008750E2" w:rsidRDefault="00B41CE6" w:rsidP="00B41CE6">
      <w:pPr>
        <w:jc w:val="both"/>
        <w:rPr>
          <w:rFonts w:asciiTheme="minorHAnsi" w:hAnsiTheme="minorHAnsi" w:cstheme="minorHAnsi"/>
          <w:noProof/>
          <w:sz w:val="22"/>
          <w:szCs w:val="22"/>
          <w:lang w:val="id-ID"/>
        </w:rPr>
      </w:pPr>
      <w:r w:rsidRPr="00B41CE6">
        <w:rPr>
          <w:rFonts w:asciiTheme="minorHAnsi" w:hAnsiTheme="minorHAnsi" w:cstheme="minorHAnsi"/>
          <w:noProof/>
          <w:sz w:val="22"/>
          <w:szCs w:val="22"/>
          <w:lang w:val="id-ID"/>
        </w:rPr>
        <w:t xml:space="preserve">Sepanjang tahun tersebut, sejumlah laporan strategi makro BRIDS juga menunjukkan </w:t>
      </w:r>
      <w:r w:rsidR="001351E7">
        <w:rPr>
          <w:rFonts w:asciiTheme="minorHAnsi" w:hAnsiTheme="minorHAnsi" w:cstheme="minorHAnsi"/>
          <w:noProof/>
          <w:sz w:val="22"/>
          <w:szCs w:val="22"/>
          <w:lang w:val="id-ID"/>
        </w:rPr>
        <w:t>keakuratan</w:t>
      </w:r>
      <w:r w:rsidRPr="00B41CE6">
        <w:rPr>
          <w:rFonts w:asciiTheme="minorHAnsi" w:hAnsiTheme="minorHAnsi" w:cstheme="minorHAnsi"/>
          <w:noProof/>
          <w:sz w:val="22"/>
          <w:szCs w:val="22"/>
          <w:lang w:val="id-ID"/>
        </w:rPr>
        <w:t xml:space="preserve"> dalam mengidentifikasi perubahan arah kebijakan. Laporan “In Search of Parallels” yang terbit pada 17 Maret 2025 telah mengantisipasi potensi siklus pelonggaran suku bunga Bank Indonesia yang agresif, sebelum BI kemudian memasuki salah satu fase pelonggaran paling agresif pada semester II 2025. Selanjutnya, laporan “New Paradigm” pada 15 September 2025 memproyeksikan penguatan likuiditas sistem perbankan, tidak lama sebelum pemerintah mengumumkan penempatan dana idle sebesar Rp200 triliun di bank-bank BUMN.</w:t>
      </w:r>
    </w:p>
    <w:p w14:paraId="1008F9AC" w14:textId="77777777" w:rsidR="00B41CE6" w:rsidRPr="003C037F" w:rsidRDefault="00B41CE6" w:rsidP="00B41CE6">
      <w:pPr>
        <w:jc w:val="both"/>
        <w:rPr>
          <w:rFonts w:asciiTheme="minorHAnsi" w:hAnsiTheme="minorHAnsi" w:cstheme="minorHAnsi"/>
          <w:noProof/>
          <w:sz w:val="22"/>
          <w:szCs w:val="22"/>
          <w:lang w:val="id-ID"/>
        </w:rPr>
      </w:pPr>
    </w:p>
    <w:p w14:paraId="4F7F776D" w14:textId="429381C2" w:rsidR="001622B0" w:rsidRDefault="00A76908" w:rsidP="00777361">
      <w:pPr>
        <w:jc w:val="both"/>
        <w:rPr>
          <w:rFonts w:asciiTheme="minorHAnsi" w:hAnsiTheme="minorHAnsi" w:cstheme="minorHAnsi"/>
          <w:noProof/>
          <w:sz w:val="22"/>
          <w:szCs w:val="22"/>
          <w:lang w:val="id-ID"/>
        </w:rPr>
      </w:pPr>
      <w:r w:rsidRPr="003C037F">
        <w:rPr>
          <w:rFonts w:asciiTheme="minorHAnsi" w:hAnsiTheme="minorHAnsi" w:cstheme="minorHAnsi"/>
          <w:noProof/>
          <w:sz w:val="22"/>
          <w:szCs w:val="22"/>
          <w:lang w:val="id-ID"/>
        </w:rPr>
        <w:t xml:space="preserve">Kinerja riset yang solid ini turut berkontribusi pada kinerja bisnis BRIDS di segmen </w:t>
      </w:r>
      <w:r w:rsidR="00B41CE6">
        <w:rPr>
          <w:rFonts w:asciiTheme="minorHAnsi" w:hAnsiTheme="minorHAnsi" w:cstheme="minorHAnsi"/>
          <w:noProof/>
          <w:sz w:val="22"/>
          <w:szCs w:val="22"/>
          <w:lang w:val="id-ID"/>
        </w:rPr>
        <w:t xml:space="preserve">penerbitan </w:t>
      </w:r>
      <w:r w:rsidRPr="003C037F">
        <w:rPr>
          <w:rFonts w:asciiTheme="minorHAnsi" w:hAnsiTheme="minorHAnsi" w:cstheme="minorHAnsi"/>
          <w:noProof/>
          <w:sz w:val="22"/>
          <w:szCs w:val="22"/>
          <w:lang w:val="id-ID"/>
        </w:rPr>
        <w:t>surat utang. Volume transaksi penerbitan obligasi tumbuh 49% pada 2025, melanjutkan pertumbuhan 86% pada tahun sebelumnya, sekaligus mempertahankan posisi BRIDS sebagai broker obligasi pemerintah terbesar. Jumlah klien korporasi turut bertambah 29% pada 2025, setelah tumbuh 44% pada 2024.</w:t>
      </w:r>
    </w:p>
    <w:p w14:paraId="3AEAE107" w14:textId="77777777" w:rsidR="008750E2" w:rsidRDefault="008750E2" w:rsidP="00777361">
      <w:pPr>
        <w:jc w:val="both"/>
        <w:rPr>
          <w:rFonts w:asciiTheme="minorHAnsi" w:hAnsiTheme="minorHAnsi" w:cstheme="minorHAnsi"/>
          <w:noProof/>
          <w:sz w:val="22"/>
          <w:szCs w:val="22"/>
          <w:lang w:val="id-ID"/>
        </w:rPr>
      </w:pPr>
    </w:p>
    <w:p w14:paraId="5AB3C9BE" w14:textId="77777777" w:rsidR="00D113A3" w:rsidRDefault="00D113A3" w:rsidP="00777361">
      <w:pPr>
        <w:jc w:val="both"/>
        <w:rPr>
          <w:rFonts w:asciiTheme="minorHAnsi" w:hAnsiTheme="minorHAnsi" w:cstheme="minorHAnsi"/>
          <w:noProof/>
          <w:sz w:val="22"/>
          <w:szCs w:val="22"/>
          <w:lang w:val="id-ID"/>
        </w:rPr>
      </w:pPr>
    </w:p>
    <w:p w14:paraId="08D5BDD3" w14:textId="77777777" w:rsidR="00D113A3" w:rsidRPr="003C037F" w:rsidRDefault="00D113A3" w:rsidP="00777361">
      <w:pPr>
        <w:jc w:val="both"/>
        <w:rPr>
          <w:rFonts w:asciiTheme="minorHAnsi" w:hAnsiTheme="minorHAnsi" w:cstheme="minorHAnsi"/>
          <w:noProof/>
          <w:sz w:val="22"/>
          <w:szCs w:val="22"/>
          <w:lang w:val="id-ID"/>
        </w:rPr>
      </w:pPr>
    </w:p>
    <w:p w14:paraId="7610A816" w14:textId="5E2AEDB5" w:rsidR="004F3540" w:rsidRPr="003C037F" w:rsidRDefault="004F3540" w:rsidP="00777361">
      <w:pPr>
        <w:jc w:val="both"/>
        <w:rPr>
          <w:rFonts w:asciiTheme="minorHAnsi" w:hAnsiTheme="minorHAnsi" w:cstheme="minorHAnsi"/>
          <w:noProof/>
          <w:sz w:val="22"/>
          <w:szCs w:val="22"/>
          <w:lang w:val="id-ID"/>
        </w:rPr>
      </w:pPr>
      <w:r w:rsidRPr="003C037F">
        <w:rPr>
          <w:rFonts w:asciiTheme="minorHAnsi" w:hAnsiTheme="minorHAnsi" w:cstheme="minorHAnsi"/>
          <w:noProof/>
          <w:sz w:val="22"/>
          <w:szCs w:val="22"/>
          <w:lang w:val="id-ID"/>
        </w:rPr>
        <w:lastRenderedPageBreak/>
        <w:t xml:space="preserve">Di segmen ekuitas, tim riset yang dipimpin Erindra Krisnawan selaku Head of Equity Research, didukung empat analis dengan pembagian sektor spesifik, mencakup sektor-sektor yang bersama-sama merepresentasikan mayoritas kapitalisasi pasar Bursa Efek Indonesia (BEI), dengan sektor perbankan saja menyumbang 43,2% dari total cakupan riset berdasarkan kapitalisasi pasar. </w:t>
      </w:r>
    </w:p>
    <w:p w14:paraId="2D89A39D" w14:textId="77777777" w:rsidR="004F3540" w:rsidRPr="003C037F" w:rsidRDefault="004F3540" w:rsidP="00777361">
      <w:pPr>
        <w:jc w:val="both"/>
        <w:rPr>
          <w:rFonts w:asciiTheme="minorHAnsi" w:hAnsiTheme="minorHAnsi" w:cstheme="minorHAnsi"/>
          <w:noProof/>
          <w:sz w:val="24"/>
          <w:szCs w:val="24"/>
          <w:lang w:val="id-ID"/>
        </w:rPr>
      </w:pPr>
    </w:p>
    <w:p w14:paraId="7C116895" w14:textId="1B592718" w:rsidR="004F3540" w:rsidRDefault="00B41CE6" w:rsidP="00777361">
      <w:pPr>
        <w:jc w:val="both"/>
        <w:rPr>
          <w:rFonts w:asciiTheme="minorHAnsi" w:hAnsiTheme="minorHAnsi" w:cstheme="minorHAnsi"/>
          <w:noProof/>
          <w:sz w:val="22"/>
          <w:szCs w:val="22"/>
          <w:lang w:val="id-ID"/>
        </w:rPr>
      </w:pPr>
      <w:r w:rsidRPr="00B41CE6">
        <w:rPr>
          <w:rFonts w:asciiTheme="minorHAnsi" w:hAnsiTheme="minorHAnsi" w:cstheme="minorHAnsi"/>
          <w:noProof/>
          <w:sz w:val="22"/>
          <w:szCs w:val="22"/>
          <w:lang w:val="id-ID"/>
        </w:rPr>
        <w:t>Selain publikasi rutin berupa gagasan investasi harian, pembaruan sektor dan arus dana mingguan, strategi pasar kuartalan, serta laporan tematik atas berbagai peristiwa spesifik, Chief Economist and Strategist BRIDS juga aktif berkontribusi di luar lingkup pasar modal. Sepanjang 2025, ia menjalankan peran sebagai committee member Lembaga Penjamin Simpanan (LPS), menjadi pembicara dalam berbagai forum strategis seperti Investor Relations Forum 2025 di Bursa Efek Indonesia, forum tahunan industri semen dan sejumlah perusahaan besar, serta forum group discussion bersama Otoritas Jasa Keuangan (OJK). Kontribusi juga diperluas ke lingkungan akademik melalui keterlibatan dalam seminar dan kegiatan berbagi wawasan di universitas. Keseluruhan aktivitas tersebut menjangkau investor ritel, korporasi, regulator, akademisi, hingga mahasiswa, sekaligus memperluas peran riset BRIDS sebagai referensi berbasis data dalam memahami setiap momentum pasar.</w:t>
      </w:r>
    </w:p>
    <w:p w14:paraId="6BD5541F" w14:textId="77777777" w:rsidR="00B41CE6" w:rsidRPr="003C037F" w:rsidRDefault="00B41CE6" w:rsidP="00777361">
      <w:pPr>
        <w:jc w:val="both"/>
        <w:rPr>
          <w:rFonts w:asciiTheme="minorHAnsi" w:hAnsiTheme="minorHAnsi" w:cstheme="minorHAnsi"/>
          <w:noProof/>
          <w:sz w:val="22"/>
          <w:szCs w:val="22"/>
          <w:lang w:val="id-ID"/>
        </w:rPr>
      </w:pPr>
    </w:p>
    <w:p w14:paraId="1BD177A2" w14:textId="4ECF26D4" w:rsidR="001622B0" w:rsidRDefault="00A76908" w:rsidP="00777361">
      <w:pPr>
        <w:jc w:val="both"/>
        <w:rPr>
          <w:rFonts w:asciiTheme="minorHAnsi" w:hAnsiTheme="minorHAnsi" w:cstheme="minorHAnsi"/>
          <w:noProof/>
          <w:sz w:val="22"/>
          <w:szCs w:val="22"/>
          <w:lang w:val="id-ID"/>
        </w:rPr>
      </w:pPr>
      <w:r w:rsidRPr="003C037F">
        <w:rPr>
          <w:rFonts w:asciiTheme="minorHAnsi" w:hAnsiTheme="minorHAnsi" w:cstheme="minorHAnsi"/>
          <w:noProof/>
          <w:sz w:val="22"/>
          <w:szCs w:val="22"/>
          <w:lang w:val="id-ID"/>
        </w:rPr>
        <w:t>Di luar publikasi rutin, kebutuhan riset klien institusi yang beragam turut mendorong permintaan kajian bespoke pada sektor-sektor baru seperti pusat data dan energi terbarukan, dua sektor yang belakangan makin diminati investor seiring transisi energi dan pertumbuhan ekonomi digital di Indonesia.</w:t>
      </w:r>
    </w:p>
    <w:p w14:paraId="571E4590" w14:textId="77777777" w:rsidR="00502FF5" w:rsidRPr="003C037F" w:rsidRDefault="00502FF5" w:rsidP="00777361">
      <w:pPr>
        <w:jc w:val="both"/>
        <w:rPr>
          <w:rFonts w:asciiTheme="minorHAnsi" w:hAnsiTheme="minorHAnsi" w:cstheme="minorHAnsi"/>
          <w:noProof/>
          <w:sz w:val="22"/>
          <w:szCs w:val="22"/>
          <w:lang w:val="id-ID"/>
        </w:rPr>
      </w:pPr>
    </w:p>
    <w:p w14:paraId="4DE747C2" w14:textId="77777777" w:rsidR="001622B0" w:rsidRPr="003C037F" w:rsidRDefault="00A76908" w:rsidP="00777361">
      <w:pPr>
        <w:jc w:val="both"/>
        <w:rPr>
          <w:rFonts w:asciiTheme="minorHAnsi" w:hAnsiTheme="minorHAnsi" w:cstheme="minorHAnsi"/>
          <w:noProof/>
          <w:sz w:val="22"/>
          <w:szCs w:val="22"/>
          <w:lang w:val="id-ID"/>
        </w:rPr>
      </w:pPr>
      <w:r w:rsidRPr="003C037F">
        <w:rPr>
          <w:rFonts w:asciiTheme="minorHAnsi" w:hAnsiTheme="minorHAnsi" w:cstheme="minorHAnsi"/>
          <w:noProof/>
          <w:sz w:val="22"/>
          <w:szCs w:val="22"/>
          <w:lang w:val="id-ID"/>
        </w:rPr>
        <w:t>Ke depan, sektor-sektor seperti infrastruktur digital dan energi terbarukan diperkirakan menjadi salah satu penggerak baru pasar modal Indonesia, seiring makin banyak lembaga riset memperluas cakupan analisis ke area tersebut untuk membantu investor menangkap peluang lebih awal.</w:t>
      </w:r>
    </w:p>
    <w:p w14:paraId="1B4C07AD" w14:textId="77777777" w:rsidR="004F3540" w:rsidRDefault="004F3540" w:rsidP="00777361">
      <w:pPr>
        <w:jc w:val="both"/>
        <w:rPr>
          <w:rFonts w:asciiTheme="minorHAnsi" w:hAnsiTheme="minorHAnsi" w:cstheme="minorHAnsi"/>
          <w:noProof/>
          <w:sz w:val="22"/>
          <w:szCs w:val="22"/>
          <w:lang w:val="id-ID"/>
        </w:rPr>
      </w:pPr>
    </w:p>
    <w:p w14:paraId="407CD257" w14:textId="442744AB" w:rsidR="008750E2" w:rsidRPr="003C037F" w:rsidRDefault="008750E2" w:rsidP="00777361">
      <w:pPr>
        <w:jc w:val="both"/>
        <w:rPr>
          <w:rFonts w:asciiTheme="minorHAnsi" w:hAnsiTheme="minorHAnsi" w:cstheme="minorHAnsi"/>
          <w:noProof/>
          <w:sz w:val="22"/>
          <w:szCs w:val="22"/>
          <w:lang w:val="id-ID"/>
        </w:rPr>
      </w:pPr>
      <w:r>
        <w:rPr>
          <w:rFonts w:asciiTheme="minorHAnsi" w:hAnsiTheme="minorHAnsi" w:cstheme="minorHAnsi"/>
          <w:noProof/>
          <w:sz w:val="22"/>
          <w:szCs w:val="22"/>
          <w:lang w:val="id-ID"/>
        </w:rPr>
        <w:t>---</w:t>
      </w:r>
    </w:p>
    <w:p w14:paraId="067DD32D" w14:textId="77777777" w:rsidR="008750E2" w:rsidRDefault="008750E2" w:rsidP="00777361">
      <w:pPr>
        <w:pStyle w:val="NoSpacing"/>
        <w:jc w:val="both"/>
        <w:rPr>
          <w:rFonts w:eastAsia="Georgia" w:cstheme="minorHAnsi"/>
          <w:b/>
          <w:bCs/>
          <w:noProof/>
          <w:u w:val="single"/>
          <w:lang w:val="id-ID"/>
        </w:rPr>
      </w:pPr>
    </w:p>
    <w:p w14:paraId="58A0C53B" w14:textId="5FC793CC" w:rsidR="00684D13" w:rsidRPr="008750E2" w:rsidRDefault="00684D13" w:rsidP="00777361">
      <w:pPr>
        <w:pStyle w:val="NoSpacing"/>
        <w:jc w:val="both"/>
        <w:rPr>
          <w:rFonts w:eastAsia="Georgia" w:cstheme="minorHAnsi"/>
          <w:b/>
          <w:bCs/>
          <w:noProof/>
          <w:sz w:val="20"/>
          <w:szCs w:val="20"/>
          <w:u w:val="single"/>
          <w:lang w:val="id-ID"/>
        </w:rPr>
      </w:pPr>
      <w:r w:rsidRPr="008750E2">
        <w:rPr>
          <w:rFonts w:eastAsia="Georgia" w:cstheme="minorHAnsi"/>
          <w:b/>
          <w:bCs/>
          <w:noProof/>
          <w:sz w:val="20"/>
          <w:szCs w:val="20"/>
          <w:u w:val="single"/>
          <w:lang w:val="id-ID"/>
        </w:rPr>
        <w:t>Tentang PT BRI Danareksa Sekuritas</w:t>
      </w:r>
      <w:r w:rsidRPr="008750E2">
        <w:rPr>
          <w:rFonts w:eastAsia="Georgia" w:cstheme="minorHAnsi"/>
          <w:b/>
          <w:bCs/>
          <w:noProof/>
          <w:sz w:val="20"/>
          <w:szCs w:val="20"/>
          <w:lang w:val="id-ID"/>
        </w:rPr>
        <w:t xml:space="preserve"> (</w:t>
      </w:r>
      <w:hyperlink r:id="rId7" w:history="1">
        <w:r w:rsidRPr="008750E2">
          <w:rPr>
            <w:rStyle w:val="Hyperlink"/>
            <w:rFonts w:eastAsia="Georgia" w:cstheme="minorHAnsi"/>
            <w:b/>
            <w:bCs/>
            <w:noProof/>
            <w:sz w:val="20"/>
            <w:szCs w:val="20"/>
            <w:lang w:val="id-ID"/>
          </w:rPr>
          <w:t>www.bridanareksasekuritas.co.id</w:t>
        </w:r>
      </w:hyperlink>
      <w:r w:rsidRPr="008750E2">
        <w:rPr>
          <w:rFonts w:eastAsia="Georgia" w:cstheme="minorHAnsi"/>
          <w:b/>
          <w:bCs/>
          <w:noProof/>
          <w:sz w:val="20"/>
          <w:szCs w:val="20"/>
          <w:lang w:val="id-ID"/>
        </w:rPr>
        <w:t>)</w:t>
      </w:r>
    </w:p>
    <w:p w14:paraId="2ABB5B73" w14:textId="77777777" w:rsidR="00684D13" w:rsidRPr="008750E2" w:rsidRDefault="00684D13" w:rsidP="00777361">
      <w:pPr>
        <w:pStyle w:val="NoSpacing"/>
        <w:jc w:val="both"/>
        <w:rPr>
          <w:rFonts w:eastAsia="Georgia" w:cstheme="minorHAnsi"/>
          <w:noProof/>
          <w:sz w:val="20"/>
          <w:szCs w:val="20"/>
          <w:u w:val="single"/>
          <w:lang w:val="id-ID"/>
        </w:rPr>
      </w:pPr>
    </w:p>
    <w:p w14:paraId="70B01DA5" w14:textId="77777777" w:rsidR="00684D13" w:rsidRPr="008750E2" w:rsidRDefault="00684D13" w:rsidP="00777361">
      <w:pPr>
        <w:pStyle w:val="NoSpacing"/>
        <w:jc w:val="both"/>
        <w:rPr>
          <w:rFonts w:eastAsia="Georgia" w:cstheme="minorHAnsi"/>
          <w:noProof/>
          <w:sz w:val="20"/>
          <w:szCs w:val="20"/>
          <w:lang w:val="id-ID"/>
        </w:rPr>
      </w:pPr>
      <w:r w:rsidRPr="008750E2">
        <w:rPr>
          <w:rFonts w:eastAsia="Georgia" w:cstheme="minorHAnsi"/>
          <w:noProof/>
          <w:sz w:val="20"/>
          <w:szCs w:val="20"/>
          <w:lang w:val="id-ID"/>
        </w:rPr>
        <w:t xml:space="preserve">PT BRI Danareksa Sekuritas didirikan pada tahun 1992, bergerak sebagai perantara perdagangan efek, penjamin emisi efek dan penasihat keuangan, yang merupakan entitas anak dari PT Bank Rakyat Indonesia (Persero) Tbk (BRI atau Bank BRI) serta entitas asosiasi dari Holding BUMN Danareksa. Dengan pengalaman lebih dari 30 tahun sebagai </w:t>
      </w:r>
      <w:r w:rsidRPr="008750E2">
        <w:rPr>
          <w:rFonts w:eastAsia="Georgia" w:cstheme="minorHAnsi"/>
          <w:i/>
          <w:iCs/>
          <w:noProof/>
          <w:sz w:val="20"/>
          <w:szCs w:val="20"/>
          <w:lang w:val="id-ID"/>
        </w:rPr>
        <w:t>one stop financial solution provider</w:t>
      </w:r>
      <w:r w:rsidRPr="008750E2">
        <w:rPr>
          <w:rFonts w:eastAsia="Georgia" w:cstheme="minorHAnsi"/>
          <w:noProof/>
          <w:sz w:val="20"/>
          <w:szCs w:val="20"/>
          <w:lang w:val="id-ID"/>
        </w:rPr>
        <w:t xml:space="preserve">, perusahaan telah melayani nasabah baik individual maupun institusi; domestik maupun internasional; lembaga Pemerintah maupun swasta. BRI Danareksa Sekuritas memiliki pengalaman terbanyak dalam menangani  pasar modal, baik sebagai </w:t>
      </w:r>
      <w:r w:rsidRPr="008750E2">
        <w:rPr>
          <w:rFonts w:eastAsia="Georgia" w:cstheme="minorHAnsi"/>
          <w:i/>
          <w:iCs/>
          <w:noProof/>
          <w:sz w:val="20"/>
          <w:szCs w:val="20"/>
          <w:lang w:val="id-ID"/>
        </w:rPr>
        <w:t>underwriter</w:t>
      </w:r>
      <w:r w:rsidRPr="008750E2">
        <w:rPr>
          <w:rFonts w:eastAsia="Georgia" w:cstheme="minorHAnsi"/>
          <w:noProof/>
          <w:sz w:val="20"/>
          <w:szCs w:val="20"/>
          <w:lang w:val="id-ID"/>
        </w:rPr>
        <w:t xml:space="preserve">, </w:t>
      </w:r>
      <w:r w:rsidRPr="008750E2">
        <w:rPr>
          <w:rFonts w:eastAsia="Georgia" w:cstheme="minorHAnsi"/>
          <w:i/>
          <w:iCs/>
          <w:noProof/>
          <w:sz w:val="20"/>
          <w:szCs w:val="20"/>
          <w:lang w:val="id-ID"/>
        </w:rPr>
        <w:t>broker</w:t>
      </w:r>
      <w:r w:rsidRPr="008750E2">
        <w:rPr>
          <w:rFonts w:eastAsia="Georgia" w:cstheme="minorHAnsi"/>
          <w:noProof/>
          <w:sz w:val="20"/>
          <w:szCs w:val="20"/>
          <w:lang w:val="id-ID"/>
        </w:rPr>
        <w:t xml:space="preserve"> dan </w:t>
      </w:r>
      <w:r w:rsidRPr="008750E2">
        <w:rPr>
          <w:rFonts w:eastAsia="Georgia" w:cstheme="minorHAnsi"/>
          <w:i/>
          <w:iCs/>
          <w:noProof/>
          <w:sz w:val="20"/>
          <w:szCs w:val="20"/>
          <w:lang w:val="id-ID"/>
        </w:rPr>
        <w:t>financial advisor</w:t>
      </w:r>
      <w:r w:rsidRPr="008750E2">
        <w:rPr>
          <w:rFonts w:eastAsia="Georgia" w:cstheme="minorHAnsi"/>
          <w:noProof/>
          <w:sz w:val="20"/>
          <w:szCs w:val="20"/>
          <w:lang w:val="id-ID"/>
        </w:rPr>
        <w:t xml:space="preserve">. Khusus untuk nasabah individu, perusahaan menyediakan digital </w:t>
      </w:r>
      <w:r w:rsidRPr="008750E2">
        <w:rPr>
          <w:rFonts w:eastAsia="Georgia" w:cstheme="minorHAnsi"/>
          <w:i/>
          <w:iCs/>
          <w:noProof/>
          <w:sz w:val="20"/>
          <w:szCs w:val="20"/>
          <w:lang w:val="id-ID"/>
        </w:rPr>
        <w:t>multi-investment platform</w:t>
      </w:r>
      <w:r w:rsidRPr="008750E2">
        <w:rPr>
          <w:rFonts w:eastAsia="Georgia" w:cstheme="minorHAnsi"/>
          <w:noProof/>
          <w:sz w:val="20"/>
          <w:szCs w:val="20"/>
          <w:lang w:val="id-ID"/>
        </w:rPr>
        <w:t xml:space="preserve"> yang terintegrasi dan memudahkan nasabah dalam bertransaksi beragam produk pasar modal. </w:t>
      </w:r>
    </w:p>
    <w:p w14:paraId="2F6E3F19" w14:textId="77777777" w:rsidR="00684D13" w:rsidRPr="008750E2" w:rsidRDefault="00684D13" w:rsidP="00777361">
      <w:pPr>
        <w:pStyle w:val="NoSpacing"/>
        <w:jc w:val="both"/>
        <w:rPr>
          <w:rFonts w:eastAsia="Georgia" w:cstheme="minorHAnsi"/>
          <w:noProof/>
          <w:sz w:val="20"/>
          <w:szCs w:val="20"/>
          <w:lang w:val="id-ID"/>
        </w:rPr>
      </w:pPr>
    </w:p>
    <w:p w14:paraId="33777B2C" w14:textId="77777777" w:rsidR="00684D13" w:rsidRPr="008750E2" w:rsidRDefault="00684D13" w:rsidP="00777361">
      <w:pPr>
        <w:pStyle w:val="NoSpacing"/>
        <w:jc w:val="both"/>
        <w:rPr>
          <w:rFonts w:eastAsia="Georgia" w:cstheme="minorHAnsi"/>
          <w:noProof/>
          <w:sz w:val="20"/>
          <w:szCs w:val="20"/>
          <w:lang w:val="id-ID"/>
        </w:rPr>
      </w:pPr>
      <w:r w:rsidRPr="008750E2">
        <w:rPr>
          <w:rFonts w:eastAsia="Georgia" w:cstheme="minorHAnsi"/>
          <w:noProof/>
          <w:sz w:val="20"/>
          <w:szCs w:val="20"/>
          <w:lang w:val="id-ID"/>
        </w:rPr>
        <w:t>Untuk informasi lebih lanjut, hubungi:</w:t>
      </w:r>
    </w:p>
    <w:p w14:paraId="09BD1FB4" w14:textId="77777777" w:rsidR="00684D13" w:rsidRPr="008750E2" w:rsidRDefault="00684D13" w:rsidP="00777361">
      <w:pPr>
        <w:pStyle w:val="NoSpacing"/>
        <w:jc w:val="both"/>
        <w:rPr>
          <w:rStyle w:val="Hyperlink"/>
          <w:rFonts w:eastAsia="Georgia" w:cstheme="minorHAnsi"/>
          <w:noProof/>
          <w:sz w:val="20"/>
          <w:szCs w:val="20"/>
          <w:lang w:val="id-ID"/>
        </w:rPr>
      </w:pPr>
    </w:p>
    <w:p w14:paraId="3775F244" w14:textId="77777777" w:rsidR="00684D13" w:rsidRPr="008750E2" w:rsidRDefault="00684D13" w:rsidP="00777361">
      <w:pPr>
        <w:pStyle w:val="NoSpacing"/>
        <w:jc w:val="both"/>
        <w:rPr>
          <w:rFonts w:cstheme="minorHAnsi"/>
          <w:b/>
          <w:bCs/>
          <w:noProof/>
          <w:sz w:val="20"/>
          <w:szCs w:val="20"/>
          <w:lang w:val="id-ID"/>
        </w:rPr>
      </w:pPr>
      <w:r w:rsidRPr="008750E2">
        <w:rPr>
          <w:rFonts w:eastAsia="Georgia" w:cstheme="minorHAnsi"/>
          <w:b/>
          <w:bCs/>
          <w:noProof/>
          <w:sz w:val="20"/>
          <w:szCs w:val="20"/>
          <w:lang w:val="id-ID"/>
        </w:rPr>
        <w:t>Moh. Burhan S. Widodo</w:t>
      </w:r>
    </w:p>
    <w:p w14:paraId="42DBE52F" w14:textId="77777777" w:rsidR="00684D13" w:rsidRPr="008750E2" w:rsidRDefault="00684D13" w:rsidP="00777361">
      <w:pPr>
        <w:pStyle w:val="NoSpacing"/>
        <w:jc w:val="both"/>
        <w:rPr>
          <w:rFonts w:eastAsia="Georgia" w:cstheme="minorHAnsi"/>
          <w:i/>
          <w:iCs/>
          <w:noProof/>
          <w:sz w:val="20"/>
          <w:szCs w:val="20"/>
          <w:lang w:val="id-ID"/>
        </w:rPr>
      </w:pPr>
      <w:r w:rsidRPr="008750E2">
        <w:rPr>
          <w:rFonts w:eastAsia="Georgia" w:cstheme="minorHAnsi"/>
          <w:i/>
          <w:iCs/>
          <w:noProof/>
          <w:sz w:val="20"/>
          <w:szCs w:val="20"/>
          <w:lang w:val="id-ID"/>
        </w:rPr>
        <w:t>Corporate Secretary</w:t>
      </w:r>
    </w:p>
    <w:p w14:paraId="08F404AF" w14:textId="77777777" w:rsidR="00684D13" w:rsidRPr="008750E2" w:rsidRDefault="00684D13" w:rsidP="00777361">
      <w:pPr>
        <w:pStyle w:val="NoSpacing"/>
        <w:jc w:val="both"/>
        <w:rPr>
          <w:rFonts w:eastAsia="Georgia" w:cstheme="minorHAnsi"/>
          <w:noProof/>
          <w:sz w:val="20"/>
          <w:szCs w:val="20"/>
          <w:lang w:val="id-ID"/>
        </w:rPr>
      </w:pPr>
      <w:r w:rsidRPr="008750E2">
        <w:rPr>
          <w:rFonts w:eastAsia="Georgia" w:cstheme="minorHAnsi"/>
          <w:noProof/>
          <w:sz w:val="20"/>
          <w:szCs w:val="20"/>
          <w:lang w:val="id-ID"/>
        </w:rPr>
        <w:t>PT BRI Danareksa Sekuritas</w:t>
      </w:r>
    </w:p>
    <w:p w14:paraId="1464616D" w14:textId="77777777" w:rsidR="00684D13" w:rsidRPr="008750E2" w:rsidRDefault="00684D13" w:rsidP="00777361">
      <w:pPr>
        <w:pStyle w:val="NoSpacing"/>
        <w:jc w:val="both"/>
        <w:rPr>
          <w:rFonts w:cstheme="minorHAnsi"/>
          <w:noProof/>
          <w:sz w:val="20"/>
          <w:szCs w:val="20"/>
          <w:lang w:val="id-ID"/>
        </w:rPr>
      </w:pPr>
      <w:r w:rsidRPr="008750E2">
        <w:rPr>
          <w:rFonts w:cstheme="minorHAnsi"/>
          <w:noProof/>
          <w:sz w:val="20"/>
          <w:szCs w:val="20"/>
          <w:lang w:val="id-ID"/>
        </w:rPr>
        <w:t>M: +62 812 9907 2344</w:t>
      </w:r>
    </w:p>
    <w:p w14:paraId="69FA60BF" w14:textId="77777777" w:rsidR="00684D13" w:rsidRPr="008750E2" w:rsidRDefault="00684D13" w:rsidP="00777361">
      <w:pPr>
        <w:pStyle w:val="NoSpacing"/>
        <w:jc w:val="both"/>
        <w:rPr>
          <w:rFonts w:eastAsia="Georgia" w:cstheme="minorHAnsi"/>
          <w:noProof/>
          <w:sz w:val="20"/>
          <w:szCs w:val="20"/>
          <w:lang w:val="id-ID"/>
        </w:rPr>
      </w:pPr>
      <w:r w:rsidRPr="008750E2">
        <w:rPr>
          <w:rFonts w:cstheme="minorHAnsi"/>
          <w:noProof/>
          <w:sz w:val="20"/>
          <w:szCs w:val="20"/>
          <w:lang w:val="id-ID"/>
        </w:rPr>
        <w:t xml:space="preserve">E: </w:t>
      </w:r>
      <w:hyperlink r:id="rId8" w:history="1">
        <w:r w:rsidRPr="008750E2">
          <w:rPr>
            <w:rStyle w:val="Hyperlink"/>
            <w:rFonts w:cstheme="minorHAnsi"/>
            <w:noProof/>
            <w:sz w:val="20"/>
            <w:szCs w:val="20"/>
            <w:lang w:val="id-ID"/>
          </w:rPr>
          <w:t>corsec@brids.co.id</w:t>
        </w:r>
      </w:hyperlink>
    </w:p>
    <w:p w14:paraId="455E6A89" w14:textId="77777777" w:rsidR="00684D13" w:rsidRPr="008750E2" w:rsidRDefault="00684D13" w:rsidP="00777361">
      <w:pPr>
        <w:pStyle w:val="NoSpacing"/>
        <w:jc w:val="both"/>
        <w:rPr>
          <w:rFonts w:eastAsia="Georgia" w:cstheme="minorHAnsi"/>
          <w:noProof/>
          <w:sz w:val="20"/>
          <w:szCs w:val="20"/>
          <w:u w:val="single"/>
          <w:lang w:val="id-ID"/>
        </w:rPr>
      </w:pPr>
    </w:p>
    <w:p w14:paraId="5229D9DE" w14:textId="77777777" w:rsidR="00684D13" w:rsidRPr="003C037F" w:rsidRDefault="00684D13" w:rsidP="00777361">
      <w:pPr>
        <w:pStyle w:val="NoSpacing"/>
        <w:jc w:val="both"/>
        <w:rPr>
          <w:rFonts w:cstheme="minorHAnsi"/>
          <w:noProof/>
          <w:sz w:val="20"/>
          <w:szCs w:val="20"/>
          <w:lang w:val="id-ID"/>
        </w:rPr>
      </w:pPr>
      <w:r w:rsidRPr="00777361">
        <w:rPr>
          <w:rFonts w:cstheme="minorHAnsi"/>
          <w:b/>
          <w:bCs/>
          <w:noProof/>
          <w:color w:val="004B94"/>
          <w:sz w:val="20"/>
          <w:szCs w:val="20"/>
          <w:lang w:val="id-ID"/>
        </w:rPr>
        <w:t>BRI Danareksa Sekuritas</w:t>
      </w:r>
      <w:r w:rsidRPr="008750E2">
        <w:rPr>
          <w:rFonts w:cstheme="minorHAnsi"/>
          <w:noProof/>
          <w:sz w:val="20"/>
          <w:szCs w:val="20"/>
          <w:lang w:val="id-ID"/>
        </w:rPr>
        <w:t xml:space="preserve"> terdaftar dan diawasi oleh Otoritas Jasa Keuangan (OJK).</w:t>
      </w:r>
    </w:p>
    <w:p w14:paraId="61A1556D" w14:textId="6C67792E" w:rsidR="001622B0" w:rsidRPr="003C037F" w:rsidRDefault="001622B0" w:rsidP="00777361">
      <w:pPr>
        <w:jc w:val="both"/>
        <w:rPr>
          <w:rFonts w:asciiTheme="minorHAnsi" w:hAnsiTheme="minorHAnsi" w:cstheme="minorHAnsi"/>
          <w:noProof/>
          <w:sz w:val="22"/>
          <w:szCs w:val="22"/>
          <w:lang w:val="id-ID"/>
        </w:rPr>
      </w:pPr>
    </w:p>
    <w:sectPr w:rsidR="001622B0" w:rsidRPr="003C037F" w:rsidSect="00684D13">
      <w:headerReference w:type="even" r:id="rId9"/>
      <w:headerReference w:type="default" r:id="rId10"/>
      <w:footerReference w:type="even" r:id="rId11"/>
      <w:footerReference w:type="default" r:id="rId1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BE352" w14:textId="77777777" w:rsidR="009C5301" w:rsidRDefault="009C5301" w:rsidP="007944BD">
      <w:r>
        <w:separator/>
      </w:r>
    </w:p>
  </w:endnote>
  <w:endnote w:type="continuationSeparator" w:id="0">
    <w:p w14:paraId="4B5C404C" w14:textId="77777777" w:rsidR="009C5301" w:rsidRDefault="009C5301" w:rsidP="00794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8717" w14:textId="3116E7A8" w:rsidR="00684D13" w:rsidRDefault="00684D13" w:rsidP="00684D13">
    <w:pPr>
      <w:pStyle w:val="Footer"/>
      <w:jc w:val="center"/>
    </w:pPr>
    <w: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6E66" w14:textId="7D6BF159" w:rsidR="00684D13" w:rsidRDefault="00684D13" w:rsidP="00684D13">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28F109" w14:textId="77777777" w:rsidR="009C5301" w:rsidRDefault="009C5301" w:rsidP="007944BD">
      <w:r>
        <w:separator/>
      </w:r>
    </w:p>
  </w:footnote>
  <w:footnote w:type="continuationSeparator" w:id="0">
    <w:p w14:paraId="730FA6B4" w14:textId="77777777" w:rsidR="009C5301" w:rsidRDefault="009C5301" w:rsidP="00794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86747" w14:textId="52E9E359" w:rsidR="001A03D7" w:rsidRDefault="001A03D7">
    <w:pPr>
      <w:pStyle w:val="Header"/>
    </w:pPr>
    <w:r>
      <w:rPr>
        <w:noProof/>
      </w:rPr>
      <w:drawing>
        <wp:anchor distT="0" distB="0" distL="114300" distR="114300" simplePos="0" relativeHeight="251660288" behindDoc="0" locked="0" layoutInCell="1" allowOverlap="1" wp14:anchorId="71C3AA9D" wp14:editId="4AAE3DD7">
          <wp:simplePos x="0" y="0"/>
          <wp:positionH relativeFrom="column">
            <wp:posOffset>0</wp:posOffset>
          </wp:positionH>
          <wp:positionV relativeFrom="paragraph">
            <wp:posOffset>-149225</wp:posOffset>
          </wp:positionV>
          <wp:extent cx="1181100" cy="56787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02364" name="Picture 517802364"/>
                  <pic:cNvPicPr/>
                </pic:nvPicPr>
                <pic:blipFill>
                  <a:blip r:embed="rId1">
                    <a:extLst>
                      <a:ext uri="{28A0092B-C50C-407E-A947-70E740481C1C}">
                        <a14:useLocalDpi xmlns:a14="http://schemas.microsoft.com/office/drawing/2010/main" val="0"/>
                      </a:ext>
                    </a:extLst>
                  </a:blip>
                  <a:stretch>
                    <a:fillRect/>
                  </a:stretch>
                </pic:blipFill>
                <pic:spPr>
                  <a:xfrm>
                    <a:off x="0" y="0"/>
                    <a:ext cx="1181100" cy="56787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B2A86" w14:textId="26840E67" w:rsidR="007944BD" w:rsidRDefault="007944BD">
    <w:pPr>
      <w:pStyle w:val="Header"/>
    </w:pPr>
    <w:r>
      <w:rPr>
        <w:noProof/>
      </w:rPr>
      <w:drawing>
        <wp:anchor distT="0" distB="0" distL="114300" distR="114300" simplePos="0" relativeHeight="251658240" behindDoc="0" locked="0" layoutInCell="1" allowOverlap="1" wp14:anchorId="33294AE1" wp14:editId="234647ED">
          <wp:simplePos x="0" y="0"/>
          <wp:positionH relativeFrom="column">
            <wp:posOffset>0</wp:posOffset>
          </wp:positionH>
          <wp:positionV relativeFrom="paragraph">
            <wp:posOffset>-182395</wp:posOffset>
          </wp:positionV>
          <wp:extent cx="1181100" cy="567874"/>
          <wp:effectExtent l="0" t="0" r="0" b="0"/>
          <wp:wrapNone/>
          <wp:docPr id="517802364" name="Picture 517802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802364" name="Picture 517802364"/>
                  <pic:cNvPicPr/>
                </pic:nvPicPr>
                <pic:blipFill>
                  <a:blip r:embed="rId1">
                    <a:extLst>
                      <a:ext uri="{28A0092B-C50C-407E-A947-70E740481C1C}">
                        <a14:useLocalDpi xmlns:a14="http://schemas.microsoft.com/office/drawing/2010/main" val="0"/>
                      </a:ext>
                    </a:extLst>
                  </a:blip>
                  <a:stretch>
                    <a:fillRect/>
                  </a:stretch>
                </pic:blipFill>
                <pic:spPr>
                  <a:xfrm>
                    <a:off x="0" y="0"/>
                    <a:ext cx="1181100" cy="56787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866496"/>
    <w:multiLevelType w:val="hybridMultilevel"/>
    <w:tmpl w:val="1F7A1182"/>
    <w:lvl w:ilvl="0" w:tplc="1A186486">
      <w:start w:val="1"/>
      <w:numFmt w:val="bullet"/>
      <w:lvlText w:val="●"/>
      <w:lvlJc w:val="left"/>
      <w:pPr>
        <w:ind w:left="720" w:hanging="360"/>
      </w:pPr>
    </w:lvl>
    <w:lvl w:ilvl="1" w:tplc="C0F4E088">
      <w:start w:val="1"/>
      <w:numFmt w:val="bullet"/>
      <w:lvlText w:val="○"/>
      <w:lvlJc w:val="left"/>
      <w:pPr>
        <w:ind w:left="1440" w:hanging="360"/>
      </w:pPr>
    </w:lvl>
    <w:lvl w:ilvl="2" w:tplc="5E42A4BE">
      <w:start w:val="1"/>
      <w:numFmt w:val="bullet"/>
      <w:lvlText w:val="■"/>
      <w:lvlJc w:val="left"/>
      <w:pPr>
        <w:ind w:left="2160" w:hanging="360"/>
      </w:pPr>
    </w:lvl>
    <w:lvl w:ilvl="3" w:tplc="944EEAA4">
      <w:start w:val="1"/>
      <w:numFmt w:val="bullet"/>
      <w:lvlText w:val="●"/>
      <w:lvlJc w:val="left"/>
      <w:pPr>
        <w:ind w:left="2880" w:hanging="360"/>
      </w:pPr>
    </w:lvl>
    <w:lvl w:ilvl="4" w:tplc="3CECB322">
      <w:start w:val="1"/>
      <w:numFmt w:val="bullet"/>
      <w:lvlText w:val="○"/>
      <w:lvlJc w:val="left"/>
      <w:pPr>
        <w:ind w:left="3600" w:hanging="360"/>
      </w:pPr>
    </w:lvl>
    <w:lvl w:ilvl="5" w:tplc="BA189D2C">
      <w:start w:val="1"/>
      <w:numFmt w:val="bullet"/>
      <w:lvlText w:val="■"/>
      <w:lvlJc w:val="left"/>
      <w:pPr>
        <w:ind w:left="4320" w:hanging="360"/>
      </w:pPr>
    </w:lvl>
    <w:lvl w:ilvl="6" w:tplc="527AAA18">
      <w:start w:val="1"/>
      <w:numFmt w:val="bullet"/>
      <w:lvlText w:val="●"/>
      <w:lvlJc w:val="left"/>
      <w:pPr>
        <w:ind w:left="5040" w:hanging="360"/>
      </w:pPr>
    </w:lvl>
    <w:lvl w:ilvl="7" w:tplc="FDCC127A">
      <w:start w:val="1"/>
      <w:numFmt w:val="bullet"/>
      <w:lvlText w:val="●"/>
      <w:lvlJc w:val="left"/>
      <w:pPr>
        <w:ind w:left="5760" w:hanging="360"/>
      </w:pPr>
    </w:lvl>
    <w:lvl w:ilvl="8" w:tplc="399A5496">
      <w:start w:val="1"/>
      <w:numFmt w:val="bullet"/>
      <w:lvlText w:val="●"/>
      <w:lvlJc w:val="left"/>
      <w:pPr>
        <w:ind w:left="6480" w:hanging="360"/>
      </w:pPr>
    </w:lvl>
  </w:abstractNum>
  <w:num w:numId="1" w16cid:durableId="57594020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2B0"/>
    <w:rsid w:val="000F537B"/>
    <w:rsid w:val="001351E7"/>
    <w:rsid w:val="001622B0"/>
    <w:rsid w:val="001A03D7"/>
    <w:rsid w:val="001A1D94"/>
    <w:rsid w:val="001F4A62"/>
    <w:rsid w:val="0026535E"/>
    <w:rsid w:val="00281207"/>
    <w:rsid w:val="002F083E"/>
    <w:rsid w:val="00303B37"/>
    <w:rsid w:val="00355CF7"/>
    <w:rsid w:val="00357AF5"/>
    <w:rsid w:val="003C037F"/>
    <w:rsid w:val="003E4F97"/>
    <w:rsid w:val="004A4A04"/>
    <w:rsid w:val="004F3540"/>
    <w:rsid w:val="00502FF5"/>
    <w:rsid w:val="005125E9"/>
    <w:rsid w:val="00615AC1"/>
    <w:rsid w:val="00684D13"/>
    <w:rsid w:val="006A0907"/>
    <w:rsid w:val="006C375E"/>
    <w:rsid w:val="00750222"/>
    <w:rsid w:val="00763801"/>
    <w:rsid w:val="00777361"/>
    <w:rsid w:val="00791106"/>
    <w:rsid w:val="007944BD"/>
    <w:rsid w:val="007A5DE4"/>
    <w:rsid w:val="007C720B"/>
    <w:rsid w:val="00806627"/>
    <w:rsid w:val="008072DA"/>
    <w:rsid w:val="00846CA3"/>
    <w:rsid w:val="008750E2"/>
    <w:rsid w:val="008B3603"/>
    <w:rsid w:val="008F0593"/>
    <w:rsid w:val="00962311"/>
    <w:rsid w:val="009C5301"/>
    <w:rsid w:val="009F2647"/>
    <w:rsid w:val="00A22E33"/>
    <w:rsid w:val="00A451FD"/>
    <w:rsid w:val="00A76908"/>
    <w:rsid w:val="00B41CE6"/>
    <w:rsid w:val="00B46402"/>
    <w:rsid w:val="00C31F3E"/>
    <w:rsid w:val="00C62281"/>
    <w:rsid w:val="00C7593C"/>
    <w:rsid w:val="00C8325B"/>
    <w:rsid w:val="00C94944"/>
    <w:rsid w:val="00CC7BD3"/>
    <w:rsid w:val="00D113A3"/>
    <w:rsid w:val="00D714F7"/>
    <w:rsid w:val="00DE4A03"/>
    <w:rsid w:val="00DF29B9"/>
    <w:rsid w:val="00EF5646"/>
    <w:rsid w:val="00FD2FA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A995"/>
  <w15:docId w15:val="{956C1A7A-2049-414E-9E1B-A48DA0BB9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63801"/>
    <w:rPr>
      <w:color w:val="605E5C"/>
      <w:shd w:val="clear" w:color="auto" w:fill="E1DFDD"/>
    </w:rPr>
  </w:style>
  <w:style w:type="paragraph" w:styleId="Header">
    <w:name w:val="header"/>
    <w:basedOn w:val="Normal"/>
    <w:link w:val="HeaderChar"/>
    <w:uiPriority w:val="99"/>
    <w:unhideWhenUsed/>
    <w:rsid w:val="007944BD"/>
    <w:pPr>
      <w:tabs>
        <w:tab w:val="center" w:pos="4680"/>
        <w:tab w:val="right" w:pos="9360"/>
      </w:tabs>
    </w:pPr>
  </w:style>
  <w:style w:type="character" w:customStyle="1" w:styleId="HeaderChar">
    <w:name w:val="Header Char"/>
    <w:basedOn w:val="DefaultParagraphFont"/>
    <w:link w:val="Header"/>
    <w:uiPriority w:val="99"/>
    <w:rsid w:val="007944BD"/>
  </w:style>
  <w:style w:type="paragraph" w:styleId="Footer">
    <w:name w:val="footer"/>
    <w:basedOn w:val="Normal"/>
    <w:link w:val="FooterChar"/>
    <w:uiPriority w:val="99"/>
    <w:unhideWhenUsed/>
    <w:rsid w:val="007944BD"/>
    <w:pPr>
      <w:tabs>
        <w:tab w:val="center" w:pos="4680"/>
        <w:tab w:val="right" w:pos="9360"/>
      </w:tabs>
    </w:pPr>
  </w:style>
  <w:style w:type="character" w:customStyle="1" w:styleId="FooterChar">
    <w:name w:val="Footer Char"/>
    <w:basedOn w:val="DefaultParagraphFont"/>
    <w:link w:val="Footer"/>
    <w:uiPriority w:val="99"/>
    <w:rsid w:val="007944BD"/>
  </w:style>
  <w:style w:type="paragraph" w:styleId="NoSpacing">
    <w:name w:val="No Spacing"/>
    <w:uiPriority w:val="1"/>
    <w:qFormat/>
    <w:rsid w:val="00684D13"/>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40039">
      <w:bodyDiv w:val="1"/>
      <w:marLeft w:val="0"/>
      <w:marRight w:val="0"/>
      <w:marTop w:val="0"/>
      <w:marBottom w:val="0"/>
      <w:divBdr>
        <w:top w:val="none" w:sz="0" w:space="0" w:color="auto"/>
        <w:left w:val="none" w:sz="0" w:space="0" w:color="auto"/>
        <w:bottom w:val="none" w:sz="0" w:space="0" w:color="auto"/>
        <w:right w:val="none" w:sz="0" w:space="0" w:color="auto"/>
      </w:divBdr>
    </w:div>
    <w:div w:id="62989699">
      <w:bodyDiv w:val="1"/>
      <w:marLeft w:val="0"/>
      <w:marRight w:val="0"/>
      <w:marTop w:val="0"/>
      <w:marBottom w:val="0"/>
      <w:divBdr>
        <w:top w:val="none" w:sz="0" w:space="0" w:color="auto"/>
        <w:left w:val="none" w:sz="0" w:space="0" w:color="auto"/>
        <w:bottom w:val="none" w:sz="0" w:space="0" w:color="auto"/>
        <w:right w:val="none" w:sz="0" w:space="0" w:color="auto"/>
      </w:divBdr>
    </w:div>
    <w:div w:id="111557209">
      <w:bodyDiv w:val="1"/>
      <w:marLeft w:val="0"/>
      <w:marRight w:val="0"/>
      <w:marTop w:val="0"/>
      <w:marBottom w:val="0"/>
      <w:divBdr>
        <w:top w:val="none" w:sz="0" w:space="0" w:color="auto"/>
        <w:left w:val="none" w:sz="0" w:space="0" w:color="auto"/>
        <w:bottom w:val="none" w:sz="0" w:space="0" w:color="auto"/>
        <w:right w:val="none" w:sz="0" w:space="0" w:color="auto"/>
      </w:divBdr>
    </w:div>
    <w:div w:id="185945360">
      <w:bodyDiv w:val="1"/>
      <w:marLeft w:val="0"/>
      <w:marRight w:val="0"/>
      <w:marTop w:val="0"/>
      <w:marBottom w:val="0"/>
      <w:divBdr>
        <w:top w:val="none" w:sz="0" w:space="0" w:color="auto"/>
        <w:left w:val="none" w:sz="0" w:space="0" w:color="auto"/>
        <w:bottom w:val="none" w:sz="0" w:space="0" w:color="auto"/>
        <w:right w:val="none" w:sz="0" w:space="0" w:color="auto"/>
      </w:divBdr>
    </w:div>
    <w:div w:id="333531210">
      <w:bodyDiv w:val="1"/>
      <w:marLeft w:val="0"/>
      <w:marRight w:val="0"/>
      <w:marTop w:val="0"/>
      <w:marBottom w:val="0"/>
      <w:divBdr>
        <w:top w:val="none" w:sz="0" w:space="0" w:color="auto"/>
        <w:left w:val="none" w:sz="0" w:space="0" w:color="auto"/>
        <w:bottom w:val="none" w:sz="0" w:space="0" w:color="auto"/>
        <w:right w:val="none" w:sz="0" w:space="0" w:color="auto"/>
      </w:divBdr>
    </w:div>
    <w:div w:id="376782179">
      <w:bodyDiv w:val="1"/>
      <w:marLeft w:val="0"/>
      <w:marRight w:val="0"/>
      <w:marTop w:val="0"/>
      <w:marBottom w:val="0"/>
      <w:divBdr>
        <w:top w:val="none" w:sz="0" w:space="0" w:color="auto"/>
        <w:left w:val="none" w:sz="0" w:space="0" w:color="auto"/>
        <w:bottom w:val="none" w:sz="0" w:space="0" w:color="auto"/>
        <w:right w:val="none" w:sz="0" w:space="0" w:color="auto"/>
      </w:divBdr>
    </w:div>
    <w:div w:id="462767821">
      <w:bodyDiv w:val="1"/>
      <w:marLeft w:val="0"/>
      <w:marRight w:val="0"/>
      <w:marTop w:val="0"/>
      <w:marBottom w:val="0"/>
      <w:divBdr>
        <w:top w:val="none" w:sz="0" w:space="0" w:color="auto"/>
        <w:left w:val="none" w:sz="0" w:space="0" w:color="auto"/>
        <w:bottom w:val="none" w:sz="0" w:space="0" w:color="auto"/>
        <w:right w:val="none" w:sz="0" w:space="0" w:color="auto"/>
      </w:divBdr>
    </w:div>
    <w:div w:id="557057821">
      <w:bodyDiv w:val="1"/>
      <w:marLeft w:val="0"/>
      <w:marRight w:val="0"/>
      <w:marTop w:val="0"/>
      <w:marBottom w:val="0"/>
      <w:divBdr>
        <w:top w:val="none" w:sz="0" w:space="0" w:color="auto"/>
        <w:left w:val="none" w:sz="0" w:space="0" w:color="auto"/>
        <w:bottom w:val="none" w:sz="0" w:space="0" w:color="auto"/>
        <w:right w:val="none" w:sz="0" w:space="0" w:color="auto"/>
      </w:divBdr>
    </w:div>
    <w:div w:id="18490522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orsec@brids.co.id"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ridanareksasekuritas.co.id"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939</Words>
  <Characters>5358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Agam Satria Pratama</cp:lastModifiedBy>
  <cp:revision>7</cp:revision>
  <dcterms:created xsi:type="dcterms:W3CDTF">2026-08-20T04:16:00Z</dcterms:created>
  <dcterms:modified xsi:type="dcterms:W3CDTF">2026-08-20T04:21:00Z</dcterms:modified>
</cp:coreProperties>
</file>