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958F3" w14:textId="77777777" w:rsidR="00221F5B" w:rsidRPr="00C44340" w:rsidRDefault="00000000">
      <w:pPr>
        <w:spacing w:before="41"/>
        <w:jc w:val="both"/>
        <w:rPr>
          <w:b/>
          <w:sz w:val="24"/>
          <w:lang w:val="id-ID"/>
        </w:rPr>
      </w:pPr>
      <w:r w:rsidRPr="00C44340">
        <w:rPr>
          <w:b/>
          <w:sz w:val="24"/>
          <w:lang w:val="id-ID"/>
        </w:rPr>
        <w:t>SIARAN</w:t>
      </w:r>
      <w:r w:rsidRPr="00C44340">
        <w:rPr>
          <w:b/>
          <w:spacing w:val="-2"/>
          <w:sz w:val="24"/>
          <w:lang w:val="id-ID"/>
        </w:rPr>
        <w:t xml:space="preserve"> </w:t>
      </w:r>
      <w:r w:rsidRPr="00C44340">
        <w:rPr>
          <w:b/>
          <w:spacing w:val="-4"/>
          <w:sz w:val="24"/>
          <w:lang w:val="id-ID"/>
        </w:rPr>
        <w:t>PERS</w:t>
      </w:r>
    </w:p>
    <w:p w14:paraId="3C3739CB" w14:textId="53C69F32" w:rsidR="006C5C36" w:rsidRPr="00C44340" w:rsidRDefault="001C1944">
      <w:pPr>
        <w:pStyle w:val="Title"/>
        <w:rPr>
          <w:lang w:val="id-ID"/>
        </w:rPr>
      </w:pPr>
      <w:r w:rsidRPr="00C44340">
        <w:rPr>
          <w:lang w:val="id-ID"/>
        </w:rPr>
        <w:t>The Fed Turunkan Suku Bunga, BRIDS: Momentum Positif untuk Pasar Modal Indonesia</w:t>
      </w:r>
    </w:p>
    <w:p w14:paraId="475CE1F2" w14:textId="77777777" w:rsidR="001C1944" w:rsidRPr="00C44340" w:rsidRDefault="001C1944">
      <w:pPr>
        <w:pStyle w:val="Title"/>
        <w:rPr>
          <w:lang w:val="id-ID"/>
        </w:rPr>
      </w:pPr>
    </w:p>
    <w:p w14:paraId="0AAB4CEF" w14:textId="4569EDF6" w:rsidR="001C1944" w:rsidRPr="00C44340" w:rsidRDefault="001C1944" w:rsidP="001C1944">
      <w:pPr>
        <w:pStyle w:val="BodyText"/>
        <w:jc w:val="both"/>
        <w:rPr>
          <w:lang w:val="id-ID"/>
        </w:rPr>
      </w:pPr>
      <w:r w:rsidRPr="00C44340">
        <w:rPr>
          <w:b/>
          <w:bCs/>
          <w:lang w:val="id-ID"/>
        </w:rPr>
        <w:t xml:space="preserve">Jakarta, </w:t>
      </w:r>
      <w:r w:rsidR="00896477">
        <w:rPr>
          <w:b/>
          <w:bCs/>
          <w:lang w:val="id-ID"/>
        </w:rPr>
        <w:t xml:space="preserve">03 November </w:t>
      </w:r>
      <w:r w:rsidRPr="00C44340">
        <w:rPr>
          <w:b/>
          <w:bCs/>
          <w:lang w:val="id-ID"/>
        </w:rPr>
        <w:t xml:space="preserve">2025 </w:t>
      </w:r>
      <w:r w:rsidR="006C5C36" w:rsidRPr="00C44340">
        <w:rPr>
          <w:lang w:val="id-ID"/>
        </w:rPr>
        <w:t xml:space="preserve">– </w:t>
      </w:r>
      <w:r w:rsidRPr="00C44340">
        <w:rPr>
          <w:lang w:val="id-ID"/>
        </w:rPr>
        <w:t>The Federal Reserve memangkas suku bunga acuan sebesar 25 basis poin menjadi 3,75% – 4,00% pada pertemuan Oktober, menandai penurunan kedua berturut-turut dalam siklus pelonggaran kebijakan saat ini. Keputusan yang disetujui dengan suara 10 banding 2 ini mencerminkan perbedaan pandangan di antara anggota FOMC, di mana sebagian masih menilai tekanan inflasi perlu diwaspadai, sementara lainnya melihat ruang untuk mendukung pertumbuhan ekonomi.</w:t>
      </w:r>
    </w:p>
    <w:p w14:paraId="4265EE9E" w14:textId="77777777" w:rsidR="001C1944" w:rsidRPr="00C44340" w:rsidRDefault="001C1944" w:rsidP="001C1944">
      <w:pPr>
        <w:pStyle w:val="BodyText"/>
        <w:jc w:val="both"/>
        <w:rPr>
          <w:lang w:val="id-ID"/>
        </w:rPr>
      </w:pPr>
    </w:p>
    <w:p w14:paraId="68B33607" w14:textId="77777777" w:rsidR="001C1944" w:rsidRPr="00C44340" w:rsidRDefault="001C1944" w:rsidP="001C1944">
      <w:pPr>
        <w:pStyle w:val="BodyText"/>
        <w:jc w:val="both"/>
        <w:rPr>
          <w:lang w:val="id-ID"/>
        </w:rPr>
      </w:pPr>
      <w:r w:rsidRPr="00C44340">
        <w:rPr>
          <w:b/>
          <w:bCs/>
          <w:lang w:val="id-ID"/>
        </w:rPr>
        <w:t>Chief Economist BRIDS, Helmy Kristanto</w:t>
      </w:r>
      <w:r w:rsidRPr="00C44340">
        <w:rPr>
          <w:lang w:val="id-ID"/>
        </w:rPr>
        <w:t>, menilai langkah The Fed ini menjadi sinyal penting bahwa fase pengetatan moneter global mulai berakhir. “Pemangkasan suku bunga The Fed menunjukkan arah kebijakan yang lebih seimbang. Likuiditas global berpotensi membaik, memberi ruang bagi negara berkembang seperti Indonesia untuk menjaga stabilitas tanpa tekanan suku bunga tinggi,” ujar Helmy.</w:t>
      </w:r>
    </w:p>
    <w:p w14:paraId="573169B2" w14:textId="77777777" w:rsidR="001C1944" w:rsidRPr="00C44340" w:rsidRDefault="001C1944" w:rsidP="001C1944">
      <w:pPr>
        <w:pStyle w:val="BodyText"/>
        <w:jc w:val="both"/>
        <w:rPr>
          <w:lang w:val="id-ID"/>
        </w:rPr>
      </w:pPr>
    </w:p>
    <w:p w14:paraId="4AD2DFE8" w14:textId="77777777" w:rsidR="001C1944" w:rsidRPr="00C44340" w:rsidRDefault="001C1944" w:rsidP="001C1944">
      <w:pPr>
        <w:pStyle w:val="BodyText"/>
        <w:jc w:val="both"/>
        <w:rPr>
          <w:lang w:val="id-ID"/>
        </w:rPr>
      </w:pPr>
      <w:r w:rsidRPr="00C44340">
        <w:rPr>
          <w:lang w:val="id-ID"/>
        </w:rPr>
        <w:t>Lebih lanjut, BRIDS melihat kebijakan The Fed menghentikan pengurangan neraca</w:t>
      </w:r>
      <w:r w:rsidRPr="00C44340">
        <w:rPr>
          <w:i/>
          <w:iCs/>
          <w:lang w:val="id-ID"/>
        </w:rPr>
        <w:t xml:space="preserve"> (balance sheet runoff)</w:t>
      </w:r>
      <w:r w:rsidRPr="00C44340">
        <w:rPr>
          <w:lang w:val="id-ID"/>
        </w:rPr>
        <w:t xml:space="preserve"> per 1 Desember 2025 akan memperkuat sinyal pelonggaran likuiditas global. Hal ini dapat mempercepat arus masuk modal ke pasar berkembang, termasuk Indonesia, yang memiliki imbal hasil aset dan prospek pertumbuhan ekonomi yang menarik.</w:t>
      </w:r>
    </w:p>
    <w:p w14:paraId="1CF108F2" w14:textId="77777777" w:rsidR="001C1944" w:rsidRPr="00C44340" w:rsidRDefault="001C1944" w:rsidP="001C1944">
      <w:pPr>
        <w:pStyle w:val="BodyText"/>
        <w:jc w:val="both"/>
        <w:rPr>
          <w:lang w:val="id-ID"/>
        </w:rPr>
      </w:pPr>
    </w:p>
    <w:p w14:paraId="16E4A193" w14:textId="77777777" w:rsidR="001C1944" w:rsidRPr="00C44340" w:rsidRDefault="001C1944" w:rsidP="001C1944">
      <w:pPr>
        <w:pStyle w:val="BodyText"/>
        <w:jc w:val="both"/>
        <w:rPr>
          <w:lang w:val="id-ID"/>
        </w:rPr>
      </w:pPr>
      <w:r w:rsidRPr="00C44340">
        <w:rPr>
          <w:lang w:val="id-ID"/>
        </w:rPr>
        <w:t>“Sentimen pasar mulai berbalik positif seiring turunnya suku bunga global. Dengan inflasi yang terkendali, pertumbuhan ekonomi yang stabil, dan ruang kebijakan yang masih luas, Indonesia memiliki daya tahan yang kuat dibandingkan negara lain di kawasan. Kondisi ini membuat pasar Indonesia berpotensi tetap menarik bagi investor, bahkan di tengah ketidakpastian global,” tambah Helmy.</w:t>
      </w:r>
    </w:p>
    <w:p w14:paraId="7F812296" w14:textId="77777777" w:rsidR="00C8494E" w:rsidRPr="00C44340" w:rsidRDefault="00C8494E" w:rsidP="001C1944">
      <w:pPr>
        <w:pStyle w:val="BodyText"/>
        <w:jc w:val="both"/>
        <w:rPr>
          <w:lang w:val="id-ID"/>
        </w:rPr>
      </w:pPr>
    </w:p>
    <w:p w14:paraId="62F658DE" w14:textId="77777777" w:rsidR="00C8494E" w:rsidRPr="00C44340" w:rsidRDefault="00C8494E" w:rsidP="00C8494E">
      <w:pPr>
        <w:pStyle w:val="BodyText"/>
        <w:jc w:val="both"/>
        <w:rPr>
          <w:lang w:val="id-ID"/>
        </w:rPr>
      </w:pPr>
      <w:r w:rsidRPr="00C44340">
        <w:rPr>
          <w:lang w:val="id-ID"/>
        </w:rPr>
        <w:t xml:space="preserve">Dengan suku bunga global yang mulai turun, minat investor asing terhadap pasar Indonesia kembali meningkat, terlihat dari arus masuk dana asing ke saham dan obligasi dalam beberapa hari terakhir. Data BRIDS mencatat </w:t>
      </w:r>
      <w:r w:rsidRPr="00C44340">
        <w:rPr>
          <w:i/>
          <w:iCs/>
          <w:lang w:val="id-ID"/>
        </w:rPr>
        <w:t>net buy</w:t>
      </w:r>
      <w:r w:rsidRPr="00C44340">
        <w:rPr>
          <w:lang w:val="id-ID"/>
        </w:rPr>
        <w:t xml:space="preserve"> asing sebesar Rp545 miliar pada sesi pertama perdagangan 30 Oktober 2025, menandakan kepercayaan investor terhadap prospek pasar domestik mulai pulih.</w:t>
      </w:r>
    </w:p>
    <w:p w14:paraId="1FBC3AE8" w14:textId="77777777" w:rsidR="00C8494E" w:rsidRPr="00C44340" w:rsidRDefault="00C8494E" w:rsidP="00C8494E">
      <w:pPr>
        <w:pStyle w:val="BodyText"/>
        <w:jc w:val="both"/>
        <w:rPr>
          <w:lang w:val="id-ID"/>
        </w:rPr>
      </w:pPr>
    </w:p>
    <w:p w14:paraId="132C8C3C" w14:textId="5BE2E2BB" w:rsidR="00C8494E" w:rsidRPr="00C44340" w:rsidRDefault="00C8494E" w:rsidP="00C8494E">
      <w:pPr>
        <w:pStyle w:val="BodyText"/>
        <w:jc w:val="both"/>
        <w:rPr>
          <w:lang w:val="id-ID"/>
        </w:rPr>
      </w:pPr>
      <w:r w:rsidRPr="00C44340">
        <w:rPr>
          <w:lang w:val="id-ID"/>
        </w:rPr>
        <w:t xml:space="preserve">Dari sisi teknikal, </w:t>
      </w:r>
      <w:r w:rsidR="00C44340" w:rsidRPr="00C44340">
        <w:rPr>
          <w:b/>
          <w:bCs/>
          <w:lang w:val="id-ID"/>
        </w:rPr>
        <w:t xml:space="preserve">Customer Engagement &amp; Market Analyst Department Head BRIDS Chory Agung Ramdhani </w:t>
      </w:r>
      <w:r w:rsidR="00C44340" w:rsidRPr="00C44340">
        <w:rPr>
          <w:lang w:val="id-ID"/>
        </w:rPr>
        <w:t>mengungkapkan bahwa</w:t>
      </w:r>
      <w:r w:rsidR="00C44340" w:rsidRPr="00C44340">
        <w:rPr>
          <w:b/>
          <w:bCs/>
          <w:lang w:val="id-ID"/>
        </w:rPr>
        <w:t xml:space="preserve"> </w:t>
      </w:r>
      <w:r w:rsidRPr="00C44340">
        <w:rPr>
          <w:lang w:val="id-ID"/>
        </w:rPr>
        <w:t xml:space="preserve">IHSG masih berada dalam tren kenaikan </w:t>
      </w:r>
      <w:r w:rsidRPr="00C44340">
        <w:rPr>
          <w:i/>
          <w:iCs/>
          <w:lang w:val="id-ID"/>
        </w:rPr>
        <w:t>(bullish)</w:t>
      </w:r>
      <w:r w:rsidRPr="00C44340">
        <w:rPr>
          <w:lang w:val="id-ID"/>
        </w:rPr>
        <w:t xml:space="preserve"> yang solid, dengan pergerakan harga di atas rata-rata jangka pendek dan menengah. Indeks telah mencapai level 8.180, mendekati </w:t>
      </w:r>
      <w:r w:rsidRPr="00C44340">
        <w:rPr>
          <w:i/>
          <w:iCs/>
          <w:lang w:val="id-ID"/>
        </w:rPr>
        <w:t>resistance</w:t>
      </w:r>
      <w:r w:rsidRPr="00C44340">
        <w:rPr>
          <w:lang w:val="id-ID"/>
        </w:rPr>
        <w:t xml:space="preserve"> di 8.320, sementara </w:t>
      </w:r>
      <w:r w:rsidRPr="006C5EB2">
        <w:rPr>
          <w:i/>
          <w:iCs/>
          <w:lang w:val="id-ID"/>
        </w:rPr>
        <w:t>support</w:t>
      </w:r>
      <w:r w:rsidRPr="00C44340">
        <w:rPr>
          <w:lang w:val="id-ID"/>
        </w:rPr>
        <w:t xml:space="preserve"> krusial berada di area 7.989. BRIDS menilai, penurunan suku bunga The Fed akan menjadi katalis fundamental yang kuat dan berpotensi mendorong IHSG menembus level </w:t>
      </w:r>
      <w:r w:rsidRPr="006C5EB2">
        <w:rPr>
          <w:i/>
          <w:iCs/>
          <w:lang w:val="id-ID"/>
        </w:rPr>
        <w:t>resistance</w:t>
      </w:r>
      <w:r w:rsidRPr="00C44340">
        <w:rPr>
          <w:lang w:val="id-ID"/>
        </w:rPr>
        <w:t xml:space="preserve"> 8.320, selama area </w:t>
      </w:r>
      <w:r w:rsidRPr="006C5EB2">
        <w:rPr>
          <w:i/>
          <w:iCs/>
          <w:lang w:val="id-ID"/>
        </w:rPr>
        <w:t>support</w:t>
      </w:r>
      <w:r w:rsidRPr="00C44340">
        <w:rPr>
          <w:lang w:val="id-ID"/>
        </w:rPr>
        <w:t xml:space="preserve"> tetap terjaga.</w:t>
      </w:r>
    </w:p>
    <w:p w14:paraId="09C19824" w14:textId="77777777" w:rsidR="00C8494E" w:rsidRPr="00C44340" w:rsidRDefault="00C8494E" w:rsidP="001C1944">
      <w:pPr>
        <w:pStyle w:val="BodyText"/>
        <w:jc w:val="both"/>
        <w:rPr>
          <w:lang w:val="id-ID"/>
        </w:rPr>
      </w:pPr>
    </w:p>
    <w:p w14:paraId="05C09907" w14:textId="1689EA18" w:rsidR="00646E83" w:rsidRPr="00C44340" w:rsidRDefault="001C1944" w:rsidP="00C44340">
      <w:pPr>
        <w:pStyle w:val="BodyText"/>
        <w:jc w:val="both"/>
        <w:rPr>
          <w:lang w:val="id-ID"/>
        </w:rPr>
      </w:pPr>
      <w:r w:rsidRPr="00C44340">
        <w:rPr>
          <w:lang w:val="id-ID"/>
        </w:rPr>
        <w:t xml:space="preserve">BRIDS melihat kondisi global yang lebih longgar akan menjadi dorongan tambahan bagi pasar keuangan Indonesia menjelang akhir tahun. Dengan likuiditas dunia yang mulai membaik dan aliran dana asing yang kembali masuk, pasar saham domestik berpeluang melanjutkan tren kenaikannya. Situasi ini juga bisa memperkuat sentimen </w:t>
      </w:r>
      <w:r w:rsidRPr="00C44340">
        <w:rPr>
          <w:i/>
          <w:iCs/>
          <w:lang w:val="id-ID"/>
        </w:rPr>
        <w:t>window dressing</w:t>
      </w:r>
      <w:r w:rsidRPr="00C44340">
        <w:rPr>
          <w:lang w:val="id-ID"/>
        </w:rPr>
        <w:t>, ketika investor cenderung meningkatkan aktivitas beli di akhir tahun.</w:t>
      </w:r>
    </w:p>
    <w:p w14:paraId="579C5CC3" w14:textId="77777777" w:rsidR="00646E83" w:rsidRPr="00C44340" w:rsidRDefault="00646E83" w:rsidP="001C1944">
      <w:pPr>
        <w:ind w:right="357"/>
        <w:jc w:val="center"/>
        <w:rPr>
          <w:spacing w:val="-5"/>
          <w:sz w:val="24"/>
          <w:lang w:val="id-ID"/>
        </w:rPr>
      </w:pPr>
    </w:p>
    <w:p w14:paraId="2DD1AC90" w14:textId="48BB619B" w:rsidR="00221F5B" w:rsidRDefault="00000000" w:rsidP="001C1944">
      <w:pPr>
        <w:ind w:right="357"/>
        <w:jc w:val="center"/>
        <w:rPr>
          <w:spacing w:val="-5"/>
          <w:sz w:val="24"/>
          <w:lang w:val="id-ID"/>
        </w:rPr>
      </w:pPr>
      <w:r w:rsidRPr="00C44340">
        <w:rPr>
          <w:spacing w:val="-5"/>
          <w:sz w:val="24"/>
          <w:lang w:val="id-ID"/>
        </w:rPr>
        <w:t>***</w:t>
      </w:r>
    </w:p>
    <w:p w14:paraId="7971965F" w14:textId="77777777" w:rsidR="00C44340" w:rsidRDefault="00C44340" w:rsidP="001C1944">
      <w:pPr>
        <w:ind w:right="357"/>
        <w:jc w:val="center"/>
        <w:rPr>
          <w:sz w:val="24"/>
          <w:lang w:val="id-ID"/>
        </w:rPr>
      </w:pPr>
    </w:p>
    <w:p w14:paraId="1FC05591" w14:textId="77777777" w:rsidR="00C44340" w:rsidRDefault="00C44340" w:rsidP="001C1944">
      <w:pPr>
        <w:ind w:right="357"/>
        <w:jc w:val="center"/>
        <w:rPr>
          <w:sz w:val="24"/>
          <w:lang w:val="id-ID"/>
        </w:rPr>
      </w:pPr>
    </w:p>
    <w:p w14:paraId="6F160A03" w14:textId="77777777" w:rsidR="00C44340" w:rsidRDefault="00C44340" w:rsidP="001C1944">
      <w:pPr>
        <w:ind w:right="357"/>
        <w:jc w:val="center"/>
        <w:rPr>
          <w:sz w:val="24"/>
          <w:lang w:val="id-ID"/>
        </w:rPr>
      </w:pPr>
    </w:p>
    <w:p w14:paraId="606C5F32" w14:textId="77777777" w:rsidR="00C44340" w:rsidRPr="00C44340" w:rsidRDefault="00C44340" w:rsidP="001C1944">
      <w:pPr>
        <w:ind w:right="357"/>
        <w:jc w:val="center"/>
        <w:rPr>
          <w:sz w:val="24"/>
          <w:lang w:val="id-ID"/>
        </w:rPr>
      </w:pPr>
    </w:p>
    <w:p w14:paraId="2A8502DD" w14:textId="0E46D050" w:rsidR="00221F5B" w:rsidRPr="00C44340" w:rsidRDefault="00000000">
      <w:pPr>
        <w:pStyle w:val="Heading1"/>
        <w:jc w:val="both"/>
        <w:rPr>
          <w:u w:val="none"/>
          <w:lang w:val="id-ID"/>
        </w:rPr>
      </w:pPr>
      <w:r w:rsidRPr="00C44340">
        <w:rPr>
          <w:lang w:val="id-ID"/>
        </w:rPr>
        <w:lastRenderedPageBreak/>
        <w:t>Tentang</w:t>
      </w:r>
      <w:r w:rsidRPr="00C44340">
        <w:rPr>
          <w:spacing w:val="-6"/>
          <w:lang w:val="id-ID"/>
        </w:rPr>
        <w:t xml:space="preserve"> </w:t>
      </w:r>
      <w:r w:rsidRPr="00C44340">
        <w:rPr>
          <w:lang w:val="id-ID"/>
        </w:rPr>
        <w:t>PT</w:t>
      </w:r>
      <w:r w:rsidRPr="00C44340">
        <w:rPr>
          <w:spacing w:val="-5"/>
          <w:lang w:val="id-ID"/>
        </w:rPr>
        <w:t xml:space="preserve"> </w:t>
      </w:r>
      <w:r w:rsidRPr="00C44340">
        <w:rPr>
          <w:lang w:val="id-ID"/>
        </w:rPr>
        <w:t>BRI</w:t>
      </w:r>
      <w:r w:rsidRPr="00C44340">
        <w:rPr>
          <w:spacing w:val="-3"/>
          <w:lang w:val="id-ID"/>
        </w:rPr>
        <w:t xml:space="preserve"> </w:t>
      </w:r>
      <w:r w:rsidRPr="00C44340">
        <w:rPr>
          <w:lang w:val="id-ID"/>
        </w:rPr>
        <w:t>Danareksa</w:t>
      </w:r>
      <w:r w:rsidRPr="00C44340">
        <w:rPr>
          <w:spacing w:val="-7"/>
          <w:lang w:val="id-ID"/>
        </w:rPr>
        <w:t xml:space="preserve"> </w:t>
      </w:r>
      <w:r w:rsidRPr="00C44340">
        <w:rPr>
          <w:lang w:val="id-ID"/>
        </w:rPr>
        <w:t>Sekuritas</w:t>
      </w:r>
      <w:r w:rsidRPr="00C44340">
        <w:rPr>
          <w:spacing w:val="-1"/>
          <w:u w:val="none"/>
          <w:lang w:val="id-ID"/>
        </w:rPr>
        <w:t xml:space="preserve"> </w:t>
      </w:r>
      <w:r w:rsidRPr="00C44340">
        <w:rPr>
          <w:spacing w:val="-2"/>
          <w:u w:val="none"/>
          <w:lang w:val="id-ID"/>
        </w:rPr>
        <w:t>(</w:t>
      </w:r>
      <w:hyperlink r:id="rId6">
        <w:r w:rsidR="00221F5B" w:rsidRPr="00C44340">
          <w:rPr>
            <w:color w:val="0000FF"/>
            <w:spacing w:val="-2"/>
            <w:u w:color="0000FF"/>
            <w:lang w:val="id-ID"/>
          </w:rPr>
          <w:t>www.bridanareksasekuritas.co.id</w:t>
        </w:r>
      </w:hyperlink>
      <w:r w:rsidRPr="00C44340">
        <w:rPr>
          <w:spacing w:val="-2"/>
          <w:u w:val="none"/>
          <w:lang w:val="id-ID"/>
        </w:rPr>
        <w:t>)</w:t>
      </w:r>
    </w:p>
    <w:p w14:paraId="4BCB8FF5" w14:textId="77777777" w:rsidR="00221F5B" w:rsidRPr="00C44340" w:rsidRDefault="00221F5B">
      <w:pPr>
        <w:pStyle w:val="BodyText"/>
        <w:spacing w:before="1"/>
        <w:rPr>
          <w:b/>
          <w:lang w:val="id-ID"/>
        </w:rPr>
      </w:pPr>
    </w:p>
    <w:p w14:paraId="5B5E8245" w14:textId="77777777" w:rsidR="00221F5B" w:rsidRPr="00C44340" w:rsidRDefault="00000000">
      <w:pPr>
        <w:pStyle w:val="BodyText"/>
        <w:ind w:right="355"/>
        <w:jc w:val="both"/>
        <w:rPr>
          <w:lang w:val="id-ID"/>
        </w:rPr>
      </w:pPr>
      <w:r w:rsidRPr="00C44340">
        <w:rPr>
          <w:lang w:val="id-ID"/>
        </w:rPr>
        <w:t>PT BRI Danareksa Sekuritas didirikan pada tahun 1992, bergerak sebagai perantara perdagangan efek, penjamin</w:t>
      </w:r>
      <w:r w:rsidRPr="00C44340">
        <w:rPr>
          <w:spacing w:val="-13"/>
          <w:lang w:val="id-ID"/>
        </w:rPr>
        <w:t xml:space="preserve"> </w:t>
      </w:r>
      <w:r w:rsidRPr="00C44340">
        <w:rPr>
          <w:lang w:val="id-ID"/>
        </w:rPr>
        <w:t>emisi</w:t>
      </w:r>
      <w:r w:rsidRPr="00C44340">
        <w:rPr>
          <w:spacing w:val="-12"/>
          <w:lang w:val="id-ID"/>
        </w:rPr>
        <w:t xml:space="preserve"> </w:t>
      </w:r>
      <w:r w:rsidRPr="00C44340">
        <w:rPr>
          <w:lang w:val="id-ID"/>
        </w:rPr>
        <w:t>efek</w:t>
      </w:r>
      <w:r w:rsidRPr="00C44340">
        <w:rPr>
          <w:spacing w:val="-13"/>
          <w:lang w:val="id-ID"/>
        </w:rPr>
        <w:t xml:space="preserve"> </w:t>
      </w:r>
      <w:r w:rsidRPr="00C44340">
        <w:rPr>
          <w:lang w:val="id-ID"/>
        </w:rPr>
        <w:t>dan</w:t>
      </w:r>
      <w:r w:rsidRPr="00C44340">
        <w:rPr>
          <w:spacing w:val="-12"/>
          <w:lang w:val="id-ID"/>
        </w:rPr>
        <w:t xml:space="preserve"> </w:t>
      </w:r>
      <w:r w:rsidRPr="00C44340">
        <w:rPr>
          <w:lang w:val="id-ID"/>
        </w:rPr>
        <w:t>penasihat</w:t>
      </w:r>
      <w:r w:rsidRPr="00C44340">
        <w:rPr>
          <w:spacing w:val="-13"/>
          <w:lang w:val="id-ID"/>
        </w:rPr>
        <w:t xml:space="preserve"> </w:t>
      </w:r>
      <w:r w:rsidRPr="00C44340">
        <w:rPr>
          <w:lang w:val="id-ID"/>
        </w:rPr>
        <w:t>keuangan,</w:t>
      </w:r>
      <w:r w:rsidRPr="00C44340">
        <w:rPr>
          <w:spacing w:val="-12"/>
          <w:lang w:val="id-ID"/>
        </w:rPr>
        <w:t xml:space="preserve"> </w:t>
      </w:r>
      <w:r w:rsidRPr="00C44340">
        <w:rPr>
          <w:lang w:val="id-ID"/>
        </w:rPr>
        <w:t>yang</w:t>
      </w:r>
      <w:r w:rsidRPr="00C44340">
        <w:rPr>
          <w:spacing w:val="-13"/>
          <w:lang w:val="id-ID"/>
        </w:rPr>
        <w:t xml:space="preserve"> </w:t>
      </w:r>
      <w:r w:rsidRPr="00C44340">
        <w:rPr>
          <w:lang w:val="id-ID"/>
        </w:rPr>
        <w:t>merupakan</w:t>
      </w:r>
      <w:r w:rsidRPr="00C44340">
        <w:rPr>
          <w:spacing w:val="-12"/>
          <w:lang w:val="id-ID"/>
        </w:rPr>
        <w:t xml:space="preserve"> </w:t>
      </w:r>
      <w:r w:rsidRPr="00C44340">
        <w:rPr>
          <w:lang w:val="id-ID"/>
        </w:rPr>
        <w:t>entitas</w:t>
      </w:r>
      <w:r w:rsidRPr="00C44340">
        <w:rPr>
          <w:spacing w:val="-12"/>
          <w:lang w:val="id-ID"/>
        </w:rPr>
        <w:t xml:space="preserve"> </w:t>
      </w:r>
      <w:r w:rsidRPr="00C44340">
        <w:rPr>
          <w:lang w:val="id-ID"/>
        </w:rPr>
        <w:t>anak</w:t>
      </w:r>
      <w:r w:rsidRPr="00C44340">
        <w:rPr>
          <w:spacing w:val="-13"/>
          <w:lang w:val="id-ID"/>
        </w:rPr>
        <w:t xml:space="preserve"> </w:t>
      </w:r>
      <w:r w:rsidRPr="00C44340">
        <w:rPr>
          <w:lang w:val="id-ID"/>
        </w:rPr>
        <w:t>dari</w:t>
      </w:r>
      <w:r w:rsidRPr="00C44340">
        <w:rPr>
          <w:spacing w:val="-12"/>
          <w:lang w:val="id-ID"/>
        </w:rPr>
        <w:t xml:space="preserve"> </w:t>
      </w:r>
      <w:r w:rsidRPr="00C44340">
        <w:rPr>
          <w:lang w:val="id-ID"/>
        </w:rPr>
        <w:t>PT</w:t>
      </w:r>
      <w:r w:rsidRPr="00C44340">
        <w:rPr>
          <w:spacing w:val="-13"/>
          <w:lang w:val="id-ID"/>
        </w:rPr>
        <w:t xml:space="preserve"> </w:t>
      </w:r>
      <w:r w:rsidRPr="00C44340">
        <w:rPr>
          <w:lang w:val="id-ID"/>
        </w:rPr>
        <w:t>Bank</w:t>
      </w:r>
      <w:r w:rsidRPr="00C44340">
        <w:rPr>
          <w:spacing w:val="-12"/>
          <w:lang w:val="id-ID"/>
        </w:rPr>
        <w:t xml:space="preserve"> </w:t>
      </w:r>
      <w:r w:rsidRPr="00C44340">
        <w:rPr>
          <w:lang w:val="id-ID"/>
        </w:rPr>
        <w:t>Rakyat</w:t>
      </w:r>
      <w:r w:rsidRPr="00C44340">
        <w:rPr>
          <w:spacing w:val="-13"/>
          <w:lang w:val="id-ID"/>
        </w:rPr>
        <w:t xml:space="preserve"> </w:t>
      </w:r>
      <w:r w:rsidRPr="00C44340">
        <w:rPr>
          <w:lang w:val="id-ID"/>
        </w:rPr>
        <w:t xml:space="preserve">Indonesia (Persero) Tbk (BRI atau Bank BRI) serta entitas asosiasi dari Holding BUMN Danareksa. Dengan pengalaman lebih dari 30 tahun sebagai </w:t>
      </w:r>
      <w:r w:rsidRPr="00C44340">
        <w:rPr>
          <w:i/>
          <w:lang w:val="id-ID"/>
        </w:rPr>
        <w:t>one stop financial solution provider</w:t>
      </w:r>
      <w:r w:rsidRPr="00C44340">
        <w:rPr>
          <w:lang w:val="id-ID"/>
        </w:rPr>
        <w:t>, perusahaan telah melayani nasabah</w:t>
      </w:r>
      <w:r w:rsidRPr="00C44340">
        <w:rPr>
          <w:spacing w:val="-2"/>
          <w:lang w:val="id-ID"/>
        </w:rPr>
        <w:t xml:space="preserve"> </w:t>
      </w:r>
      <w:r w:rsidRPr="00C44340">
        <w:rPr>
          <w:lang w:val="id-ID"/>
        </w:rPr>
        <w:t>baik</w:t>
      </w:r>
      <w:r w:rsidRPr="00C44340">
        <w:rPr>
          <w:spacing w:val="-3"/>
          <w:lang w:val="id-ID"/>
        </w:rPr>
        <w:t xml:space="preserve"> </w:t>
      </w:r>
      <w:r w:rsidRPr="00C44340">
        <w:rPr>
          <w:lang w:val="id-ID"/>
        </w:rPr>
        <w:t>individual</w:t>
      </w:r>
      <w:r w:rsidRPr="00C44340">
        <w:rPr>
          <w:spacing w:val="-3"/>
          <w:lang w:val="id-ID"/>
        </w:rPr>
        <w:t xml:space="preserve"> </w:t>
      </w:r>
      <w:r w:rsidRPr="00C44340">
        <w:rPr>
          <w:lang w:val="id-ID"/>
        </w:rPr>
        <w:t>maupun</w:t>
      </w:r>
      <w:r w:rsidRPr="00C44340">
        <w:rPr>
          <w:spacing w:val="-1"/>
          <w:lang w:val="id-ID"/>
        </w:rPr>
        <w:t xml:space="preserve"> </w:t>
      </w:r>
      <w:r w:rsidRPr="00C44340">
        <w:rPr>
          <w:lang w:val="id-ID"/>
        </w:rPr>
        <w:t>institusi;</w:t>
      </w:r>
      <w:r w:rsidRPr="00C44340">
        <w:rPr>
          <w:spacing w:val="-3"/>
          <w:lang w:val="id-ID"/>
        </w:rPr>
        <w:t xml:space="preserve"> </w:t>
      </w:r>
      <w:r w:rsidRPr="00C44340">
        <w:rPr>
          <w:lang w:val="id-ID"/>
        </w:rPr>
        <w:t>domestik</w:t>
      </w:r>
      <w:r w:rsidRPr="00C44340">
        <w:rPr>
          <w:spacing w:val="-5"/>
          <w:lang w:val="id-ID"/>
        </w:rPr>
        <w:t xml:space="preserve"> </w:t>
      </w:r>
      <w:r w:rsidRPr="00C44340">
        <w:rPr>
          <w:lang w:val="id-ID"/>
        </w:rPr>
        <w:t>maupun</w:t>
      </w:r>
      <w:r w:rsidRPr="00C44340">
        <w:rPr>
          <w:spacing w:val="-1"/>
          <w:lang w:val="id-ID"/>
        </w:rPr>
        <w:t xml:space="preserve"> </w:t>
      </w:r>
      <w:r w:rsidRPr="00C44340">
        <w:rPr>
          <w:lang w:val="id-ID"/>
        </w:rPr>
        <w:t>internasional; lembaga</w:t>
      </w:r>
      <w:r w:rsidRPr="00C44340">
        <w:rPr>
          <w:spacing w:val="-1"/>
          <w:lang w:val="id-ID"/>
        </w:rPr>
        <w:t xml:space="preserve"> </w:t>
      </w:r>
      <w:r w:rsidRPr="00C44340">
        <w:rPr>
          <w:lang w:val="id-ID"/>
        </w:rPr>
        <w:t>Pemerintah</w:t>
      </w:r>
      <w:r w:rsidRPr="00C44340">
        <w:rPr>
          <w:spacing w:val="-4"/>
          <w:lang w:val="id-ID"/>
        </w:rPr>
        <w:t xml:space="preserve"> </w:t>
      </w:r>
      <w:r w:rsidRPr="00C44340">
        <w:rPr>
          <w:lang w:val="id-ID"/>
        </w:rPr>
        <w:t>maupun swasta. BRI Danareksa Sekuritas memiliki pengalaman terbanyak dalam menangani</w:t>
      </w:r>
      <w:r w:rsidRPr="00C44340">
        <w:rPr>
          <w:spacing w:val="40"/>
          <w:lang w:val="id-ID"/>
        </w:rPr>
        <w:t xml:space="preserve"> </w:t>
      </w:r>
      <w:r w:rsidRPr="00C44340">
        <w:rPr>
          <w:lang w:val="id-ID"/>
        </w:rPr>
        <w:t xml:space="preserve">pasar modal, baik sebagai </w:t>
      </w:r>
      <w:r w:rsidRPr="00C44340">
        <w:rPr>
          <w:i/>
          <w:lang w:val="id-ID"/>
        </w:rPr>
        <w:t>underwriter</w:t>
      </w:r>
      <w:r w:rsidRPr="00C44340">
        <w:rPr>
          <w:lang w:val="id-ID"/>
        </w:rPr>
        <w:t xml:space="preserve">, </w:t>
      </w:r>
      <w:r w:rsidRPr="00C44340">
        <w:rPr>
          <w:i/>
          <w:lang w:val="id-ID"/>
        </w:rPr>
        <w:t xml:space="preserve">broker </w:t>
      </w:r>
      <w:r w:rsidRPr="00C44340">
        <w:rPr>
          <w:lang w:val="id-ID"/>
        </w:rPr>
        <w:t xml:space="preserve">dan </w:t>
      </w:r>
      <w:r w:rsidRPr="00C44340">
        <w:rPr>
          <w:i/>
          <w:lang w:val="id-ID"/>
        </w:rPr>
        <w:t>financial advisor</w:t>
      </w:r>
      <w:r w:rsidRPr="00C44340">
        <w:rPr>
          <w:lang w:val="id-ID"/>
        </w:rPr>
        <w:t xml:space="preserve">. Khusus untuk nasabah individu, perusahaan menyediakan digital </w:t>
      </w:r>
      <w:r w:rsidRPr="00C44340">
        <w:rPr>
          <w:i/>
          <w:lang w:val="id-ID"/>
        </w:rPr>
        <w:t xml:space="preserve">multi-investment platform </w:t>
      </w:r>
      <w:r w:rsidRPr="00C44340">
        <w:rPr>
          <w:lang w:val="id-ID"/>
        </w:rPr>
        <w:t>yang terintegrasi dan memudahkan nasabah dalam bertransaksi beragam produk pasar modal.</w:t>
      </w:r>
    </w:p>
    <w:p w14:paraId="53B869DB" w14:textId="77777777" w:rsidR="00221F5B" w:rsidRPr="00C44340" w:rsidRDefault="00221F5B">
      <w:pPr>
        <w:pStyle w:val="BodyText"/>
        <w:spacing w:before="24"/>
        <w:rPr>
          <w:lang w:val="id-ID"/>
        </w:rPr>
      </w:pPr>
    </w:p>
    <w:p w14:paraId="64C1D9C3" w14:textId="77777777" w:rsidR="00221F5B" w:rsidRPr="00C44340" w:rsidRDefault="00000000">
      <w:pPr>
        <w:pStyle w:val="BodyText"/>
        <w:rPr>
          <w:lang w:val="id-ID"/>
        </w:rPr>
      </w:pPr>
      <w:r w:rsidRPr="00C44340">
        <w:rPr>
          <w:lang w:val="id-ID"/>
        </w:rPr>
        <w:t>Untuk</w:t>
      </w:r>
      <w:r w:rsidRPr="00C44340">
        <w:rPr>
          <w:spacing w:val="-5"/>
          <w:lang w:val="id-ID"/>
        </w:rPr>
        <w:t xml:space="preserve"> </w:t>
      </w:r>
      <w:r w:rsidRPr="00C44340">
        <w:rPr>
          <w:lang w:val="id-ID"/>
        </w:rPr>
        <w:t>informasi</w:t>
      </w:r>
      <w:r w:rsidRPr="00C44340">
        <w:rPr>
          <w:spacing w:val="-8"/>
          <w:lang w:val="id-ID"/>
        </w:rPr>
        <w:t xml:space="preserve"> </w:t>
      </w:r>
      <w:r w:rsidRPr="00C44340">
        <w:rPr>
          <w:lang w:val="id-ID"/>
        </w:rPr>
        <w:t>lebih</w:t>
      </w:r>
      <w:r w:rsidRPr="00C44340">
        <w:rPr>
          <w:spacing w:val="-7"/>
          <w:lang w:val="id-ID"/>
        </w:rPr>
        <w:t xml:space="preserve"> </w:t>
      </w:r>
      <w:r w:rsidRPr="00C44340">
        <w:rPr>
          <w:lang w:val="id-ID"/>
        </w:rPr>
        <w:t>lanjut,</w:t>
      </w:r>
      <w:r w:rsidRPr="00C44340">
        <w:rPr>
          <w:spacing w:val="-4"/>
          <w:lang w:val="id-ID"/>
        </w:rPr>
        <w:t xml:space="preserve"> </w:t>
      </w:r>
      <w:r w:rsidRPr="00C44340">
        <w:rPr>
          <w:spacing w:val="-2"/>
          <w:lang w:val="id-ID"/>
        </w:rPr>
        <w:t>hubungi:</w:t>
      </w:r>
    </w:p>
    <w:p w14:paraId="7BCBFA8F" w14:textId="77777777" w:rsidR="00221F5B" w:rsidRPr="00C44340" w:rsidRDefault="00221F5B">
      <w:pPr>
        <w:pStyle w:val="BodyText"/>
        <w:spacing w:before="1"/>
        <w:rPr>
          <w:lang w:val="id-ID"/>
        </w:rPr>
      </w:pPr>
    </w:p>
    <w:p w14:paraId="5B582F4B" w14:textId="77777777" w:rsidR="00221F5B" w:rsidRPr="00C44340" w:rsidRDefault="00000000">
      <w:pPr>
        <w:pStyle w:val="Heading1"/>
        <w:rPr>
          <w:u w:val="none"/>
          <w:lang w:val="id-ID"/>
        </w:rPr>
      </w:pPr>
      <w:r w:rsidRPr="00C44340">
        <w:rPr>
          <w:u w:val="none"/>
          <w:lang w:val="id-ID"/>
        </w:rPr>
        <w:t>Moh.</w:t>
      </w:r>
      <w:r w:rsidRPr="00C44340">
        <w:rPr>
          <w:spacing w:val="-2"/>
          <w:u w:val="none"/>
          <w:lang w:val="id-ID"/>
        </w:rPr>
        <w:t xml:space="preserve"> </w:t>
      </w:r>
      <w:r w:rsidRPr="00C44340">
        <w:rPr>
          <w:u w:val="none"/>
          <w:lang w:val="id-ID"/>
        </w:rPr>
        <w:t>Burhan</w:t>
      </w:r>
      <w:r w:rsidRPr="00C44340">
        <w:rPr>
          <w:spacing w:val="-4"/>
          <w:u w:val="none"/>
          <w:lang w:val="id-ID"/>
        </w:rPr>
        <w:t xml:space="preserve"> </w:t>
      </w:r>
      <w:r w:rsidRPr="00C44340">
        <w:rPr>
          <w:u w:val="none"/>
          <w:lang w:val="id-ID"/>
        </w:rPr>
        <w:t>S.</w:t>
      </w:r>
      <w:r w:rsidRPr="00C44340">
        <w:rPr>
          <w:spacing w:val="-1"/>
          <w:u w:val="none"/>
          <w:lang w:val="id-ID"/>
        </w:rPr>
        <w:t xml:space="preserve"> </w:t>
      </w:r>
      <w:r w:rsidRPr="00C44340">
        <w:rPr>
          <w:spacing w:val="-2"/>
          <w:u w:val="none"/>
          <w:lang w:val="id-ID"/>
        </w:rPr>
        <w:t>Widodo</w:t>
      </w:r>
    </w:p>
    <w:p w14:paraId="611B2716" w14:textId="77777777" w:rsidR="00221F5B" w:rsidRPr="00C44340" w:rsidRDefault="00000000">
      <w:pPr>
        <w:rPr>
          <w:i/>
          <w:lang w:val="id-ID"/>
        </w:rPr>
      </w:pPr>
      <w:r w:rsidRPr="00C44340">
        <w:rPr>
          <w:i/>
          <w:lang w:val="id-ID"/>
        </w:rPr>
        <w:t>Corporate</w:t>
      </w:r>
      <w:r w:rsidRPr="00C44340">
        <w:rPr>
          <w:i/>
          <w:spacing w:val="-2"/>
          <w:lang w:val="id-ID"/>
        </w:rPr>
        <w:t xml:space="preserve"> Secretary</w:t>
      </w:r>
    </w:p>
    <w:p w14:paraId="69B764D6" w14:textId="77777777" w:rsidR="00221F5B" w:rsidRPr="00C44340" w:rsidRDefault="00000000">
      <w:pPr>
        <w:pStyle w:val="BodyText"/>
        <w:ind w:right="7107"/>
        <w:rPr>
          <w:lang w:val="id-ID"/>
        </w:rPr>
      </w:pPr>
      <w:r w:rsidRPr="00C44340">
        <w:rPr>
          <w:lang w:val="id-ID"/>
        </w:rPr>
        <w:t>PT</w:t>
      </w:r>
      <w:r w:rsidRPr="00C44340">
        <w:rPr>
          <w:spacing w:val="-13"/>
          <w:lang w:val="id-ID"/>
        </w:rPr>
        <w:t xml:space="preserve"> </w:t>
      </w:r>
      <w:r w:rsidRPr="00C44340">
        <w:rPr>
          <w:lang w:val="id-ID"/>
        </w:rPr>
        <w:t>BRI</w:t>
      </w:r>
      <w:r w:rsidRPr="00C44340">
        <w:rPr>
          <w:spacing w:val="-12"/>
          <w:lang w:val="id-ID"/>
        </w:rPr>
        <w:t xml:space="preserve"> </w:t>
      </w:r>
      <w:r w:rsidRPr="00C44340">
        <w:rPr>
          <w:lang w:val="id-ID"/>
        </w:rPr>
        <w:t>Danareksa</w:t>
      </w:r>
      <w:r w:rsidRPr="00C44340">
        <w:rPr>
          <w:spacing w:val="-12"/>
          <w:lang w:val="id-ID"/>
        </w:rPr>
        <w:t xml:space="preserve"> </w:t>
      </w:r>
      <w:r w:rsidRPr="00C44340">
        <w:rPr>
          <w:lang w:val="id-ID"/>
        </w:rPr>
        <w:t>Sekuritas M: +62 815 8555 5091</w:t>
      </w:r>
    </w:p>
    <w:p w14:paraId="3BA44A85" w14:textId="77777777" w:rsidR="00221F5B" w:rsidRPr="00C44340" w:rsidRDefault="00000000">
      <w:pPr>
        <w:pStyle w:val="BodyText"/>
        <w:spacing w:before="1"/>
        <w:rPr>
          <w:lang w:val="id-ID"/>
        </w:rPr>
      </w:pPr>
      <w:r w:rsidRPr="00C44340">
        <w:rPr>
          <w:lang w:val="id-ID"/>
        </w:rPr>
        <w:t>E:</w:t>
      </w:r>
      <w:r w:rsidRPr="00C44340">
        <w:rPr>
          <w:spacing w:val="1"/>
          <w:lang w:val="id-ID"/>
        </w:rPr>
        <w:t xml:space="preserve"> </w:t>
      </w:r>
      <w:hyperlink r:id="rId7">
        <w:r w:rsidR="00221F5B" w:rsidRPr="00C44340">
          <w:rPr>
            <w:color w:val="0000FF"/>
            <w:spacing w:val="-2"/>
            <w:u w:val="single" w:color="0000FF"/>
            <w:lang w:val="id-ID"/>
          </w:rPr>
          <w:t>corsec@brids.co.id</w:t>
        </w:r>
      </w:hyperlink>
    </w:p>
    <w:p w14:paraId="28CBB5EC" w14:textId="77777777" w:rsidR="00221F5B" w:rsidRPr="00C44340" w:rsidRDefault="00221F5B">
      <w:pPr>
        <w:pStyle w:val="BodyText"/>
        <w:spacing w:before="51"/>
        <w:rPr>
          <w:sz w:val="20"/>
          <w:lang w:val="id-ID"/>
        </w:rPr>
      </w:pPr>
    </w:p>
    <w:p w14:paraId="2A0EDDE7" w14:textId="77777777" w:rsidR="00221F5B" w:rsidRPr="00C44340" w:rsidRDefault="00000000">
      <w:pPr>
        <w:rPr>
          <w:sz w:val="20"/>
          <w:lang w:val="id-ID"/>
        </w:rPr>
      </w:pPr>
      <w:r w:rsidRPr="00C44340">
        <w:rPr>
          <w:color w:val="004A93"/>
          <w:sz w:val="20"/>
          <w:lang w:val="id-ID"/>
        </w:rPr>
        <w:t>BRI</w:t>
      </w:r>
      <w:r w:rsidRPr="00C44340">
        <w:rPr>
          <w:color w:val="004A93"/>
          <w:spacing w:val="-8"/>
          <w:sz w:val="20"/>
          <w:lang w:val="id-ID"/>
        </w:rPr>
        <w:t xml:space="preserve"> </w:t>
      </w:r>
      <w:r w:rsidRPr="00C44340">
        <w:rPr>
          <w:color w:val="004A93"/>
          <w:sz w:val="20"/>
          <w:lang w:val="id-ID"/>
        </w:rPr>
        <w:t>Danareksa</w:t>
      </w:r>
      <w:r w:rsidRPr="00C44340">
        <w:rPr>
          <w:color w:val="004A93"/>
          <w:spacing w:val="-7"/>
          <w:sz w:val="20"/>
          <w:lang w:val="id-ID"/>
        </w:rPr>
        <w:t xml:space="preserve"> </w:t>
      </w:r>
      <w:r w:rsidRPr="00C44340">
        <w:rPr>
          <w:color w:val="004A93"/>
          <w:sz w:val="20"/>
          <w:lang w:val="id-ID"/>
        </w:rPr>
        <w:t>Sekuritas</w:t>
      </w:r>
      <w:r w:rsidRPr="00C44340">
        <w:rPr>
          <w:color w:val="004A93"/>
          <w:spacing w:val="-5"/>
          <w:sz w:val="20"/>
          <w:lang w:val="id-ID"/>
        </w:rPr>
        <w:t xml:space="preserve"> </w:t>
      </w:r>
      <w:r w:rsidRPr="00C44340">
        <w:rPr>
          <w:sz w:val="20"/>
          <w:lang w:val="id-ID"/>
        </w:rPr>
        <w:t>terdaftar</w:t>
      </w:r>
      <w:r w:rsidRPr="00C44340">
        <w:rPr>
          <w:spacing w:val="-7"/>
          <w:sz w:val="20"/>
          <w:lang w:val="id-ID"/>
        </w:rPr>
        <w:t xml:space="preserve"> </w:t>
      </w:r>
      <w:r w:rsidRPr="00C44340">
        <w:rPr>
          <w:sz w:val="20"/>
          <w:lang w:val="id-ID"/>
        </w:rPr>
        <w:t>dan</w:t>
      </w:r>
      <w:r w:rsidRPr="00C44340">
        <w:rPr>
          <w:spacing w:val="-6"/>
          <w:sz w:val="20"/>
          <w:lang w:val="id-ID"/>
        </w:rPr>
        <w:t xml:space="preserve"> </w:t>
      </w:r>
      <w:r w:rsidRPr="00C44340">
        <w:rPr>
          <w:sz w:val="20"/>
          <w:lang w:val="id-ID"/>
        </w:rPr>
        <w:t>diawasi</w:t>
      </w:r>
      <w:r w:rsidRPr="00C44340">
        <w:rPr>
          <w:spacing w:val="-8"/>
          <w:sz w:val="20"/>
          <w:lang w:val="id-ID"/>
        </w:rPr>
        <w:t xml:space="preserve"> </w:t>
      </w:r>
      <w:r w:rsidRPr="00C44340">
        <w:rPr>
          <w:sz w:val="20"/>
          <w:lang w:val="id-ID"/>
        </w:rPr>
        <w:t>oleh</w:t>
      </w:r>
      <w:r w:rsidRPr="00C44340">
        <w:rPr>
          <w:spacing w:val="-6"/>
          <w:sz w:val="20"/>
          <w:lang w:val="id-ID"/>
        </w:rPr>
        <w:t xml:space="preserve"> </w:t>
      </w:r>
      <w:r w:rsidRPr="00C44340">
        <w:rPr>
          <w:sz w:val="20"/>
          <w:lang w:val="id-ID"/>
        </w:rPr>
        <w:t>Otoritas</w:t>
      </w:r>
      <w:r w:rsidRPr="00C44340">
        <w:rPr>
          <w:spacing w:val="-8"/>
          <w:sz w:val="20"/>
          <w:lang w:val="id-ID"/>
        </w:rPr>
        <w:t xml:space="preserve"> </w:t>
      </w:r>
      <w:r w:rsidRPr="00C44340">
        <w:rPr>
          <w:sz w:val="20"/>
          <w:lang w:val="id-ID"/>
        </w:rPr>
        <w:t>Jasa</w:t>
      </w:r>
      <w:r w:rsidRPr="00C44340">
        <w:rPr>
          <w:spacing w:val="-7"/>
          <w:sz w:val="20"/>
          <w:lang w:val="id-ID"/>
        </w:rPr>
        <w:t xml:space="preserve"> </w:t>
      </w:r>
      <w:r w:rsidRPr="00C44340">
        <w:rPr>
          <w:sz w:val="20"/>
          <w:lang w:val="id-ID"/>
        </w:rPr>
        <w:t>Keuangan</w:t>
      </w:r>
      <w:r w:rsidRPr="00C44340">
        <w:rPr>
          <w:spacing w:val="-7"/>
          <w:sz w:val="20"/>
          <w:lang w:val="id-ID"/>
        </w:rPr>
        <w:t xml:space="preserve"> </w:t>
      </w:r>
      <w:r w:rsidRPr="00C44340">
        <w:rPr>
          <w:spacing w:val="-2"/>
          <w:sz w:val="20"/>
          <w:lang w:val="id-ID"/>
        </w:rPr>
        <w:t>(OJK).</w:t>
      </w:r>
    </w:p>
    <w:sectPr w:rsidR="00221F5B" w:rsidRPr="00C44340">
      <w:headerReference w:type="default" r:id="rId8"/>
      <w:footerReference w:type="default" r:id="rId9"/>
      <w:pgSz w:w="12240" w:h="15840"/>
      <w:pgMar w:top="1700" w:right="1080" w:bottom="1040" w:left="1440" w:header="720" w:footer="8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1D4C7" w14:textId="77777777" w:rsidR="00BD561E" w:rsidRDefault="00BD561E">
      <w:r>
        <w:separator/>
      </w:r>
    </w:p>
  </w:endnote>
  <w:endnote w:type="continuationSeparator" w:id="0">
    <w:p w14:paraId="4F3CD0B6" w14:textId="77777777" w:rsidR="00BD561E" w:rsidRDefault="00BD5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015EF" w14:textId="77777777" w:rsidR="00221F5B" w:rsidRDefault="00000000">
    <w:pPr>
      <w:pStyle w:val="BodyText"/>
      <w:spacing w:line="14" w:lineRule="auto"/>
      <w:rPr>
        <w:sz w:val="20"/>
      </w:rPr>
    </w:pPr>
    <w:r>
      <w:rPr>
        <w:noProof/>
        <w:sz w:val="20"/>
      </w:rPr>
      <mc:AlternateContent>
        <mc:Choice Requires="wps">
          <w:drawing>
            <wp:anchor distT="0" distB="0" distL="0" distR="0" simplePos="0" relativeHeight="487547392" behindDoc="1" locked="0" layoutInCell="1" allowOverlap="1" wp14:anchorId="27C607F0" wp14:editId="732B38A8">
              <wp:simplePos x="0" y="0"/>
              <wp:positionH relativeFrom="page">
                <wp:posOffset>3813936</wp:posOffset>
              </wp:positionH>
              <wp:positionV relativeFrom="page">
                <wp:posOffset>9379711</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5C298741" w14:textId="77777777" w:rsidR="00221F5B" w:rsidRDefault="00000000">
                          <w:pPr>
                            <w:pStyle w:val="BodyText"/>
                            <w:spacing w:line="245" w:lineRule="exact"/>
                            <w:ind w:left="60"/>
                          </w:pPr>
                          <w:r>
                            <w:rPr>
                              <w:color w:val="4471C4"/>
                              <w:spacing w:val="-10"/>
                            </w:rPr>
                            <w:fldChar w:fldCharType="begin"/>
                          </w:r>
                          <w:r>
                            <w:rPr>
                              <w:color w:val="4471C4"/>
                              <w:spacing w:val="-10"/>
                            </w:rPr>
                            <w:instrText xml:space="preserve"> PAGE </w:instrText>
                          </w:r>
                          <w:r>
                            <w:rPr>
                              <w:color w:val="4471C4"/>
                              <w:spacing w:val="-10"/>
                            </w:rPr>
                            <w:fldChar w:fldCharType="separate"/>
                          </w:r>
                          <w:r>
                            <w:rPr>
                              <w:color w:val="4471C4"/>
                              <w:spacing w:val="-10"/>
                            </w:rPr>
                            <w:t>1</w:t>
                          </w:r>
                          <w:r>
                            <w:rPr>
                              <w:color w:val="4471C4"/>
                              <w:spacing w:val="-10"/>
                            </w:rPr>
                            <w:fldChar w:fldCharType="end"/>
                          </w:r>
                        </w:p>
                      </w:txbxContent>
                    </wps:txbx>
                    <wps:bodyPr wrap="square" lIns="0" tIns="0" rIns="0" bIns="0" rtlCol="0">
                      <a:noAutofit/>
                    </wps:bodyPr>
                  </wps:wsp>
                </a:graphicData>
              </a:graphic>
            </wp:anchor>
          </w:drawing>
        </mc:Choice>
        <mc:Fallback>
          <w:pict>
            <v:shapetype w14:anchorId="27C607F0" id="_x0000_t202" coordsize="21600,21600" o:spt="202" path="m,l,21600r21600,l21600,xe">
              <v:stroke joinstyle="miter"/>
              <v:path gradientshapeok="t" o:connecttype="rect"/>
            </v:shapetype>
            <v:shape id="Textbox 2" o:spid="_x0000_s1026" type="#_x0000_t202" style="position:absolute;margin-left:300.3pt;margin-top:738.55pt;width:12.6pt;height:13.05pt;z-index:-1576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" filled="f" stroked="f">
              <v:textbox inset="0,0,0,0">
                <w:txbxContent>
                  <w:p w14:paraId="5C298741" w14:textId="77777777" w:rsidR="00221F5B" w:rsidRDefault="00000000">
                    <w:pPr>
                      <w:pStyle w:val="BodyText"/>
                      <w:spacing w:line="245" w:lineRule="exact"/>
                      <w:ind w:left="60"/>
                    </w:pPr>
                    <w:r>
                      <w:rPr>
                        <w:color w:val="4471C4"/>
                        <w:spacing w:val="-10"/>
                      </w:rPr>
                      <w:fldChar w:fldCharType="begin"/>
                    </w:r>
                    <w:r>
                      <w:rPr>
                        <w:color w:val="4471C4"/>
                        <w:spacing w:val="-10"/>
                      </w:rPr>
                      <w:instrText xml:space="preserve"> PAGE </w:instrText>
                    </w:r>
                    <w:r>
                      <w:rPr>
                        <w:color w:val="4471C4"/>
                        <w:spacing w:val="-10"/>
                      </w:rPr>
                      <w:fldChar w:fldCharType="separate"/>
                    </w:r>
                    <w:r>
                      <w:rPr>
                        <w:color w:val="4471C4"/>
                        <w:spacing w:val="-10"/>
                      </w:rPr>
                      <w:t>1</w:t>
                    </w:r>
                    <w:r>
                      <w:rPr>
                        <w:color w:val="4471C4"/>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12816" w14:textId="77777777" w:rsidR="00BD561E" w:rsidRDefault="00BD561E">
      <w:r>
        <w:separator/>
      </w:r>
    </w:p>
  </w:footnote>
  <w:footnote w:type="continuationSeparator" w:id="0">
    <w:p w14:paraId="16CC6007" w14:textId="77777777" w:rsidR="00BD561E" w:rsidRDefault="00BD56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B01F1" w14:textId="77777777" w:rsidR="00221F5B" w:rsidRDefault="00000000">
    <w:pPr>
      <w:pStyle w:val="BodyText"/>
      <w:spacing w:line="14" w:lineRule="auto"/>
      <w:rPr>
        <w:sz w:val="20"/>
      </w:rPr>
    </w:pPr>
    <w:r>
      <w:rPr>
        <w:noProof/>
        <w:sz w:val="20"/>
      </w:rPr>
      <w:drawing>
        <wp:anchor distT="0" distB="0" distL="0" distR="0" simplePos="0" relativeHeight="487546880" behindDoc="1" locked="0" layoutInCell="1" allowOverlap="1" wp14:anchorId="14EFBF28" wp14:editId="4C851010">
          <wp:simplePos x="0" y="0"/>
          <wp:positionH relativeFrom="page">
            <wp:posOffset>5153659</wp:posOffset>
          </wp:positionH>
          <wp:positionV relativeFrom="page">
            <wp:posOffset>457212</wp:posOffset>
          </wp:positionV>
          <wp:extent cx="1704339" cy="47941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704339" cy="479412"/>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F5B"/>
    <w:rsid w:val="000E6CA8"/>
    <w:rsid w:val="001C1944"/>
    <w:rsid w:val="00221F5B"/>
    <w:rsid w:val="00252DEA"/>
    <w:rsid w:val="002832E2"/>
    <w:rsid w:val="003A3968"/>
    <w:rsid w:val="003E055E"/>
    <w:rsid w:val="00492D0D"/>
    <w:rsid w:val="004A7C46"/>
    <w:rsid w:val="00646E83"/>
    <w:rsid w:val="006A28CF"/>
    <w:rsid w:val="006C5C36"/>
    <w:rsid w:val="006C5EB2"/>
    <w:rsid w:val="007F7F72"/>
    <w:rsid w:val="00896477"/>
    <w:rsid w:val="009C2A15"/>
    <w:rsid w:val="009F5792"/>
    <w:rsid w:val="00AF5543"/>
    <w:rsid w:val="00B24C38"/>
    <w:rsid w:val="00BD561E"/>
    <w:rsid w:val="00C44340"/>
    <w:rsid w:val="00C633DC"/>
    <w:rsid w:val="00C8494E"/>
    <w:rsid w:val="00CF1681"/>
    <w:rsid w:val="00EE1602"/>
    <w:rsid w:val="00F557F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4900D"/>
  <w15:docId w15:val="{702A8E8F-8045-4F30-90C2-87C6ACCA7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id"/>
    </w:rPr>
  </w:style>
  <w:style w:type="paragraph" w:styleId="Heading1">
    <w:name w:val="heading 1"/>
    <w:basedOn w:val="Normal"/>
    <w:uiPriority w:val="9"/>
    <w:qFormat/>
    <w:pPr>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3"/>
      <w:ind w:right="354"/>
      <w:jc w:val="both"/>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1C194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corsec@brids.co.i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ridanareksasekuritas.co.id/"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634</Words>
  <Characters>3616</Characters>
  <Application>Microsoft Office Word</Application>
  <DocSecurity>0</DocSecurity>
  <Lines>30</Lines>
  <Paragraphs>8</Paragraphs>
  <ScaleCrop>false</ScaleCrop>
  <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Anisa Aldanur Koto</dc:creator>
  <cp:lastModifiedBy>Agam Satria Pratama</cp:lastModifiedBy>
  <cp:revision>4</cp:revision>
  <dcterms:created xsi:type="dcterms:W3CDTF">2025-10-31T07:25:00Z</dcterms:created>
  <dcterms:modified xsi:type="dcterms:W3CDTF">2025-11-03T03:51:00Z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2025-07-04T00:00:00Z</vt:filetime>
  </property>
  <property fmtid="{D5CDD505-2E9C-101B-9397-08002B2CF9AE}" pid="3" name="Creator">
    <vt:lpwstr>Microsoft® Word for Microsoft 365</vt:lpwstr>
  </property>
  <property fmtid="{D5CDD505-2E9C-101B-9397-08002B2CF9AE}" pid="4" name="LastSaved">
    <vt:filetime>2025-07-15T00:00:00Z</vt:filetime>
  </property>
  <property fmtid="{D5CDD505-2E9C-101B-9397-08002B2CF9AE}" pid="5" name="Producer">
    <vt:lpwstr>Microsoft® Word for Microsoft 365</vt:lpwstr>
  </property>
</Properties>
</file>